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236225">
      <w:pPr>
        <w:pStyle w:val="Title"/>
        <w:spacing w:after="0"/>
        <w:jc w:val="center"/>
        <w:rPr>
          <w:color w:val="auto"/>
          <w:shd w:val="clear" w:color="auto" w:fill="auto"/>
        </w:rPr>
      </w:pPr>
      <w:r>
        <w:t>Insurance Act 1973</w:t>
      </w:r>
    </w:p>
    <w:p w:rsidR="00236225">
      <w:pPr>
        <w:pStyle w:val="Title"/>
        <w:spacing w:after="0"/>
        <w:jc w:val="center"/>
        <w:rPr>
          <w:color w:val="auto"/>
          <w:shd w:val="clear" w:color="auto" w:fill="auto"/>
        </w:rPr>
      </w:pPr>
      <w:r>
        <w:t>(Part III Division 3A)</w:t>
      </w:r>
    </w:p>
    <w:p w:rsidR="00236225">
      <w:pPr>
        <w:rPr>
          <w:color w:val="auto"/>
          <w:shd w:val="clear" w:color="auto" w:fill="auto"/>
        </w:rPr>
      </w:pPr>
    </w:p>
    <w:p w:rsidR="00236225">
      <w:pPr>
        <w:pStyle w:val="Subtitle"/>
        <w:spacing w:before="0"/>
        <w:jc w:val="center"/>
        <w:rPr>
          <w:rFonts w:cs="Arial"/>
          <w:color w:val="auto"/>
          <w:shd w:val="clear" w:color="auto" w:fill="auto"/>
        </w:rPr>
      </w:pPr>
      <w:r>
        <w:rPr>
          <w:rFonts w:cs="Arial"/>
        </w:rPr>
        <w:t xml:space="preserve">SCHEME FOR THE TRANSFER OF </w:t>
      </w:r>
      <w:r w:rsidR="00DC7001">
        <w:rPr>
          <w:rFonts w:cs="Arial"/>
        </w:rPr>
        <w:t xml:space="preserve">PART OF </w:t>
      </w:r>
      <w:r>
        <w:rPr>
          <w:rFonts w:cs="Arial"/>
        </w:rPr>
        <w:t>THE INSURANCE BUSINESS OF</w:t>
      </w:r>
    </w:p>
    <w:p w:rsidR="00236225" w:rsidP="00555F5F">
      <w:pPr>
        <w:pStyle w:val="Subtitle"/>
        <w:spacing w:before="0"/>
        <w:jc w:val="center"/>
        <w:rPr>
          <w:rFonts w:cs="Arial"/>
          <w:color w:val="auto"/>
          <w:shd w:val="clear" w:color="auto" w:fill="auto"/>
        </w:rPr>
      </w:pPr>
      <w:r>
        <w:rPr>
          <w:rFonts w:cs="Arial"/>
        </w:rPr>
        <w:t xml:space="preserve">THE AUSTRALIAN BRANCH OF </w:t>
      </w:r>
      <w:r w:rsidR="00B21588">
        <w:rPr>
          <w:rFonts w:cs="Arial"/>
        </w:rPr>
        <w:t>GREAT LAKES INSURANCE SE</w:t>
      </w:r>
      <w:bookmarkStart w:id="0" w:name="_GoBack"/>
      <w:bookmarkEnd w:id="0"/>
      <w:r w:rsidR="002F25E9">
        <w:rPr>
          <w:rFonts w:cs="Arial"/>
        </w:rPr>
        <w:t xml:space="preserve"> </w:t>
      </w:r>
      <w:r w:rsidR="007001AA">
        <w:rPr>
          <w:rFonts w:cs="Arial"/>
        </w:rPr>
        <w:t>T</w:t>
      </w:r>
      <w:r w:rsidR="00EA3597">
        <w:rPr>
          <w:rFonts w:cs="Arial"/>
        </w:rPr>
        <w:t xml:space="preserve">RADING AS GREAT LAKES AUSTRALIA </w:t>
      </w:r>
      <w:r w:rsidR="002F25E9">
        <w:rPr>
          <w:rFonts w:cs="Arial"/>
        </w:rPr>
        <w:t>TO</w:t>
      </w:r>
      <w:r w:rsidR="00473F7A">
        <w:rPr>
          <w:rFonts w:cs="Arial"/>
        </w:rPr>
        <w:t xml:space="preserve"> </w:t>
      </w:r>
      <w:r w:rsidR="00555F5F">
        <w:rPr>
          <w:rFonts w:cs="Arial"/>
        </w:rPr>
        <w:t>GORDIAN RUNOFF LTD</w:t>
      </w:r>
    </w:p>
    <w:p w:rsidR="00236225">
      <w:pPr>
        <w:pBdr>
          <w:bottom w:val="single" w:sz="12" w:space="1" w:color="auto"/>
        </w:pBdr>
        <w:autoSpaceDE w:val="0"/>
        <w:autoSpaceDN w:val="0"/>
        <w:adjustRightInd w:val="0"/>
        <w:rPr>
          <w:rFonts w:cs="Arial"/>
          <w:b/>
          <w:bCs/>
          <w:color w:val="auto"/>
          <w:sz w:val="28"/>
          <w:szCs w:val="28"/>
          <w:shd w:val="clear" w:color="auto" w:fill="auto"/>
        </w:rPr>
      </w:pPr>
    </w:p>
    <w:p w:rsidR="00236225">
      <w:pPr>
        <w:rPr>
          <w:color w:val="auto"/>
          <w:shd w:val="clear" w:color="auto" w:fill="auto"/>
        </w:rPr>
      </w:pPr>
    </w:p>
    <w:p w:rsidR="00236225">
      <w:pPr>
        <w:pStyle w:val="Heading1"/>
        <w:rPr>
          <w:b w:val="0"/>
          <w:color w:val="auto"/>
          <w:szCs w:val="24"/>
          <w:shd w:val="clear" w:color="auto" w:fill="auto"/>
        </w:rPr>
      </w:pPr>
      <w:r>
        <w:rPr>
          <w:szCs w:val="24"/>
        </w:rPr>
        <w:t>Introduction and overview</w:t>
      </w:r>
    </w:p>
    <w:p w:rsidR="00236225" w:rsidP="00B64E44">
      <w:pPr>
        <w:pStyle w:val="Heading2"/>
        <w:rPr>
          <w:color w:val="auto"/>
          <w:shd w:val="clear" w:color="auto" w:fill="auto"/>
        </w:rPr>
      </w:pPr>
      <w:r>
        <w:t xml:space="preserve">This Scheme has been prepared under Division 3A of Part III of </w:t>
      </w:r>
      <w:r w:rsidR="00DC7001">
        <w:t xml:space="preserve">Insurance Act </w:t>
      </w:r>
      <w:r>
        <w:t>for the purpose of applying for confirmation from the Court for the transfer of</w:t>
      </w:r>
      <w:r w:rsidR="00DC7001">
        <w:t xml:space="preserve"> part of</w:t>
      </w:r>
      <w:r>
        <w:t xml:space="preserve"> the general insurance business of the Australian branch </w:t>
      </w:r>
      <w:r w:rsidR="00555F5F">
        <w:t>of Great Lakes Insurance SE</w:t>
      </w:r>
      <w:r w:rsidRPr="00473F7A">
        <w:rPr>
          <w:rFonts w:cs="Arial"/>
        </w:rPr>
        <w:t xml:space="preserve"> </w:t>
      </w:r>
      <w:r w:rsidR="00555F5F">
        <w:rPr>
          <w:rFonts w:cs="Arial"/>
        </w:rPr>
        <w:t>(</w:t>
      </w:r>
      <w:r w:rsidR="00B64E44">
        <w:rPr>
          <w:rFonts w:cs="Arial"/>
        </w:rPr>
        <w:t>ABN 18 964 580 576)</w:t>
      </w:r>
      <w:r w:rsidR="007001AA">
        <w:rPr>
          <w:rFonts w:cs="Arial"/>
        </w:rPr>
        <w:t>, trading as Great Lakes Australia</w:t>
      </w:r>
      <w:r w:rsidR="00632C22">
        <w:rPr>
          <w:rFonts w:cs="Arial"/>
        </w:rPr>
        <w:t xml:space="preserve">, </w:t>
      </w:r>
      <w:r w:rsidRPr="00473F7A">
        <w:t>(</w:t>
      </w:r>
      <w:r w:rsidR="00555F5F">
        <w:rPr>
          <w:b/>
        </w:rPr>
        <w:t>GLA</w:t>
      </w:r>
      <w:r>
        <w:t xml:space="preserve">) as </w:t>
      </w:r>
      <w:r w:rsidR="004354CB">
        <w:t>T</w:t>
      </w:r>
      <w:r>
        <w:t xml:space="preserve">ransferor to </w:t>
      </w:r>
      <w:r w:rsidR="00555F5F">
        <w:t xml:space="preserve">Gordian </w:t>
      </w:r>
      <w:r w:rsidR="00555F5F">
        <w:t>Run</w:t>
      </w:r>
      <w:r w:rsidR="005B489A">
        <w:t>O</w:t>
      </w:r>
      <w:r w:rsidR="00555F5F">
        <w:t>ff</w:t>
      </w:r>
      <w:r w:rsidR="00555F5F">
        <w:t xml:space="preserve"> Ltd (A</w:t>
      </w:r>
      <w:r w:rsidR="00B64E44">
        <w:t>B</w:t>
      </w:r>
      <w:r w:rsidR="00555F5F">
        <w:t xml:space="preserve">N </w:t>
      </w:r>
      <w:r w:rsidR="00B64E44">
        <w:t xml:space="preserve">11 </w:t>
      </w:r>
      <w:r w:rsidR="00555F5F">
        <w:t>052 179 647)</w:t>
      </w:r>
      <w:r w:rsidR="006151DF">
        <w:t xml:space="preserve"> </w:t>
      </w:r>
      <w:r>
        <w:t>(</w:t>
      </w:r>
      <w:r w:rsidR="00555F5F">
        <w:rPr>
          <w:b/>
        </w:rPr>
        <w:t>Gordian</w:t>
      </w:r>
      <w:r>
        <w:t xml:space="preserve">) as </w:t>
      </w:r>
      <w:r w:rsidR="004354CB">
        <w:t>T</w:t>
      </w:r>
      <w:r>
        <w:t>ransferee.</w:t>
      </w:r>
    </w:p>
    <w:p w:rsidR="00D00C49" w:rsidP="00E0285A">
      <w:pPr>
        <w:pStyle w:val="Heading2"/>
        <w:rPr>
          <w:color w:val="auto"/>
          <w:shd w:val="clear" w:color="auto" w:fill="auto"/>
        </w:rPr>
      </w:pPr>
      <w:r>
        <w:t>GLA carries on business in Australia through a branch</w:t>
      </w:r>
      <w:r w:rsidR="00E0285A">
        <w:t>.  GLA is authorised under section 12 of the Insurance Act to carry on insurance business in Australia</w:t>
      </w:r>
      <w:r w:rsidR="00C33085">
        <w:t>.</w:t>
      </w:r>
    </w:p>
    <w:p w:rsidR="00236225" w:rsidP="00C33085">
      <w:pPr>
        <w:pStyle w:val="Heading2"/>
        <w:rPr>
          <w:color w:val="auto"/>
          <w:shd w:val="clear" w:color="auto" w:fill="auto"/>
        </w:rPr>
      </w:pPr>
      <w:r>
        <w:t xml:space="preserve">Gordian </w:t>
      </w:r>
      <w:r w:rsidR="00E0285A">
        <w:t>is</w:t>
      </w:r>
      <w:r w:rsidR="002F25E9">
        <w:t xml:space="preserve"> authorised under section 12 of the Insurance Act to carry on</w:t>
      </w:r>
      <w:r w:rsidR="007001AA">
        <w:t xml:space="preserve"> run-off</w:t>
      </w:r>
      <w:r w:rsidR="002F25E9">
        <w:t xml:space="preserve"> insurance business in Australia.  </w:t>
      </w:r>
    </w:p>
    <w:p w:rsidR="00236225" w:rsidP="009A188E">
      <w:pPr>
        <w:pStyle w:val="Heading2"/>
        <w:rPr>
          <w:color w:val="auto"/>
          <w:shd w:val="clear" w:color="auto" w:fill="auto"/>
        </w:rPr>
      </w:pPr>
      <w:r>
        <w:t>GLA</w:t>
      </w:r>
      <w:r w:rsidR="002F25E9">
        <w:t xml:space="preserve"> and </w:t>
      </w:r>
      <w:r>
        <w:t>Gordian</w:t>
      </w:r>
      <w:r w:rsidR="002F25E9">
        <w:t xml:space="preserve"> have agreed to </w:t>
      </w:r>
      <w:r w:rsidR="002F1B2C">
        <w:t xml:space="preserve">request the Court to </w:t>
      </w:r>
      <w:r w:rsidR="007377C3">
        <w:t xml:space="preserve">transfer </w:t>
      </w:r>
      <w:r w:rsidR="002F25E9">
        <w:t xml:space="preserve">the </w:t>
      </w:r>
      <w:r w:rsidR="009A188E">
        <w:t>Transferring Assets</w:t>
      </w:r>
      <w:r>
        <w:t xml:space="preserve"> </w:t>
      </w:r>
      <w:r w:rsidR="002F1B2C">
        <w:t xml:space="preserve">and </w:t>
      </w:r>
      <w:r>
        <w:t xml:space="preserve">the </w:t>
      </w:r>
      <w:r w:rsidR="009A188E">
        <w:t>Transferring Liabilities</w:t>
      </w:r>
      <w:r w:rsidR="002F1B2C">
        <w:t xml:space="preserve"> from GLA to Gordian</w:t>
      </w:r>
      <w:r>
        <w:t>,</w:t>
      </w:r>
      <w:r w:rsidR="002F25E9">
        <w:t xml:space="preserve"> in accordance with the terms and conditions of the </w:t>
      </w:r>
      <w:r w:rsidR="009A188E">
        <w:t>Framework and Transfer Deed</w:t>
      </w:r>
      <w:r w:rsidR="002F25E9">
        <w:t>.</w:t>
      </w:r>
    </w:p>
    <w:p w:rsidR="00236225" w:rsidP="009A188E">
      <w:pPr>
        <w:pStyle w:val="Heading2"/>
        <w:rPr>
          <w:color w:val="auto"/>
          <w:shd w:val="clear" w:color="auto" w:fill="auto"/>
        </w:rPr>
      </w:pPr>
      <w:r>
        <w:t xml:space="preserve">The transfer of the </w:t>
      </w:r>
      <w:r w:rsidR="009A188E">
        <w:t>Transferring Assets</w:t>
      </w:r>
      <w:r>
        <w:t xml:space="preserve"> from </w:t>
      </w:r>
      <w:r w:rsidR="0055461C">
        <w:t>GLA</w:t>
      </w:r>
      <w:r w:rsidR="00D00C49">
        <w:t xml:space="preserve"> </w:t>
      </w:r>
      <w:r>
        <w:t xml:space="preserve">to </w:t>
      </w:r>
      <w:r w:rsidR="0055461C">
        <w:t>Gordian</w:t>
      </w:r>
      <w:r>
        <w:t xml:space="preserve">, and the assumption of </w:t>
      </w:r>
      <w:r w:rsidR="009A188E">
        <w:t>Transferring</w:t>
      </w:r>
      <w:r w:rsidR="00EB1F3F">
        <w:t xml:space="preserve"> </w:t>
      </w:r>
      <w:r w:rsidR="00826ED3">
        <w:t xml:space="preserve">Liabilities </w:t>
      </w:r>
      <w:r w:rsidR="00EB1F3F">
        <w:t>by Gordian</w:t>
      </w:r>
      <w:r>
        <w:t xml:space="preserve">, contemplated by the </w:t>
      </w:r>
      <w:r w:rsidR="009A188E">
        <w:t>Framework and Transfer Deed</w:t>
      </w:r>
      <w:r>
        <w:t xml:space="preserve"> will be effected under and in accordance with the terms of this Scheme.</w:t>
      </w:r>
    </w:p>
    <w:p w:rsidR="00236225">
      <w:pPr>
        <w:pStyle w:val="Heading2"/>
        <w:rPr>
          <w:color w:val="auto"/>
          <w:shd w:val="clear" w:color="auto" w:fill="auto"/>
        </w:rPr>
      </w:pPr>
      <w:r>
        <w:t xml:space="preserve">The Scheme is supported by and based upon the Actuarial Report. </w:t>
      </w:r>
    </w:p>
    <w:p w:rsidR="00236225">
      <w:pPr>
        <w:pStyle w:val="Heading1"/>
        <w:rPr>
          <w:rFonts w:cs="Arial"/>
          <w:color w:val="auto"/>
          <w:shd w:val="clear" w:color="auto" w:fill="auto"/>
        </w:rPr>
      </w:pPr>
      <w:r>
        <w:rPr>
          <w:rFonts w:cs="Arial"/>
        </w:rPr>
        <w:t>Definitions and interpretation</w:t>
      </w:r>
    </w:p>
    <w:p w:rsidR="00236225">
      <w:pPr>
        <w:pStyle w:val="Heading2"/>
        <w:rPr>
          <w:rFonts w:cs="Arial"/>
          <w:b/>
          <w:color w:val="auto"/>
          <w:shd w:val="clear" w:color="auto" w:fill="auto"/>
        </w:rPr>
      </w:pPr>
      <w:r>
        <w:rPr>
          <w:rFonts w:cs="Arial"/>
          <w:b/>
        </w:rPr>
        <w:t>Definitions</w:t>
      </w:r>
    </w:p>
    <w:p w:rsidR="00236225">
      <w:pPr>
        <w:autoSpaceDE w:val="0"/>
        <w:autoSpaceDN w:val="0"/>
        <w:adjustRightInd w:val="0"/>
        <w:rPr>
          <w:rFonts w:cs="Arial"/>
          <w:color w:val="auto"/>
          <w:sz w:val="22"/>
          <w:szCs w:val="22"/>
          <w:shd w:val="clear" w:color="auto" w:fill="auto"/>
        </w:rPr>
      </w:pPr>
    </w:p>
    <w:p w:rsidR="00236225">
      <w:pPr>
        <w:ind w:firstLine="709"/>
        <w:rPr>
          <w:color w:val="auto"/>
          <w:shd w:val="clear" w:color="auto" w:fill="auto"/>
        </w:rPr>
      </w:pPr>
      <w:r>
        <w:t>In this Scheme, unless the context requires otherwise:</w:t>
      </w:r>
    </w:p>
    <w:p w:rsidR="00236225">
      <w:pPr>
        <w:rPr>
          <w:color w:val="auto"/>
          <w:shd w:val="clear" w:color="auto" w:fill="auto"/>
        </w:rPr>
      </w:pPr>
    </w:p>
    <w:p w:rsidR="00236225" w:rsidP="0055461C">
      <w:pPr>
        <w:ind w:left="709"/>
        <w:rPr>
          <w:color w:val="auto"/>
          <w:shd w:val="clear" w:color="auto" w:fill="auto"/>
        </w:rPr>
      </w:pPr>
      <w:r>
        <w:rPr>
          <w:b/>
          <w:bCs/>
        </w:rPr>
        <w:t xml:space="preserve">Actuarial Report </w:t>
      </w:r>
      <w:r>
        <w:t>means the rep</w:t>
      </w:r>
      <w:r w:rsidRPr="00B56B71">
        <w:t xml:space="preserve">ort dated </w:t>
      </w:r>
      <w:r w:rsidRPr="00B56B71" w:rsidR="00B56B71">
        <w:t xml:space="preserve">9 </w:t>
      </w:r>
      <w:r w:rsidRPr="00B56B71" w:rsidR="00DE0018">
        <w:t>March 2020</w:t>
      </w:r>
      <w:r w:rsidRPr="00B56B71" w:rsidR="006A2FC4">
        <w:t xml:space="preserve"> </w:t>
      </w:r>
      <w:r w:rsidRPr="00B56B71">
        <w:t>prepared by</w:t>
      </w:r>
      <w:r w:rsidRPr="00B56B71" w:rsidR="009C0BC1">
        <w:t xml:space="preserve"> Geoff Atkins of </w:t>
      </w:r>
      <w:r w:rsidRPr="00B56B71" w:rsidR="002A7763">
        <w:t>Finity</w:t>
      </w:r>
      <w:r w:rsidRPr="00B56B71" w:rsidR="002A7763">
        <w:t xml:space="preserve"> Consulting Pty Limited </w:t>
      </w:r>
      <w:r w:rsidRPr="00B56B71">
        <w:t xml:space="preserve">ABN </w:t>
      </w:r>
      <w:r w:rsidRPr="00B56B71" w:rsidR="002A7763">
        <w:t xml:space="preserve">89 111 470 270 </w:t>
      </w:r>
      <w:r w:rsidRPr="00B56B71">
        <w:t>on which the Sch</w:t>
      </w:r>
      <w:r>
        <w:t>eme is based.</w:t>
      </w:r>
    </w:p>
    <w:p w:rsidR="00A12BEE" w:rsidP="00A12BEE">
      <w:pPr>
        <w:pStyle w:val="BodyText2"/>
        <w:rPr>
          <w:color w:val="auto"/>
          <w:shd w:val="clear" w:color="auto" w:fill="auto"/>
        </w:rPr>
      </w:pPr>
      <w:r>
        <w:rPr>
          <w:b/>
        </w:rPr>
        <w:t>A</w:t>
      </w:r>
      <w:r w:rsidRPr="003213F3">
        <w:rPr>
          <w:b/>
        </w:rPr>
        <w:t>djusted Price</w:t>
      </w:r>
      <w:r>
        <w:t xml:space="preserve"> has the meaning given in the Framework and Transfer Deed.</w:t>
      </w:r>
    </w:p>
    <w:p w:rsidR="00A12BEE">
      <w:pPr>
        <w:ind w:left="709"/>
        <w:rPr>
          <w:b/>
          <w:bCs/>
          <w:color w:val="auto"/>
          <w:shd w:val="clear" w:color="auto" w:fill="auto"/>
        </w:rPr>
      </w:pPr>
    </w:p>
    <w:p w:rsidR="00236225">
      <w:pPr>
        <w:ind w:left="709"/>
        <w:rPr>
          <w:color w:val="auto"/>
          <w:shd w:val="clear" w:color="auto" w:fill="auto"/>
        </w:rPr>
      </w:pPr>
      <w:r>
        <w:rPr>
          <w:b/>
          <w:bCs/>
        </w:rPr>
        <w:t xml:space="preserve">APRA </w:t>
      </w:r>
      <w:r>
        <w:t>means the Australian Prudential Regulation Authority.</w:t>
      </w:r>
    </w:p>
    <w:p w:rsidR="00236225">
      <w:pPr>
        <w:ind w:left="709"/>
        <w:rPr>
          <w:b/>
          <w:bCs/>
          <w:color w:val="auto"/>
          <w:shd w:val="clear" w:color="auto" w:fill="auto"/>
        </w:rPr>
      </w:pPr>
    </w:p>
    <w:p w:rsidR="00826ED3" w:rsidP="00826ED3">
      <w:pPr>
        <w:ind w:left="709"/>
        <w:rPr>
          <w:bCs/>
          <w:color w:val="auto"/>
          <w:shd w:val="clear" w:color="auto" w:fill="auto"/>
        </w:rPr>
      </w:pPr>
      <w:r>
        <w:rPr>
          <w:b/>
          <w:bCs/>
        </w:rPr>
        <w:t xml:space="preserve">ASIC </w:t>
      </w:r>
      <w:r w:rsidRPr="00641193">
        <w:rPr>
          <w:bCs/>
        </w:rPr>
        <w:t xml:space="preserve">means the Australian Securities and Investments Commission. </w:t>
      </w:r>
    </w:p>
    <w:p w:rsidR="00236225">
      <w:pPr>
        <w:autoSpaceDE w:val="0"/>
        <w:autoSpaceDN w:val="0"/>
        <w:adjustRightInd w:val="0"/>
        <w:rPr>
          <w:rFonts w:cs="Arial"/>
          <w:b/>
          <w:bCs/>
          <w:color w:val="auto"/>
          <w:shd w:val="clear" w:color="auto" w:fill="auto"/>
        </w:rPr>
      </w:pPr>
    </w:p>
    <w:p w:rsidR="00236225">
      <w:pPr>
        <w:autoSpaceDE w:val="0"/>
        <w:autoSpaceDN w:val="0"/>
        <w:adjustRightInd w:val="0"/>
        <w:ind w:left="709"/>
        <w:rPr>
          <w:rFonts w:cs="Arial"/>
          <w:color w:val="auto"/>
          <w:shd w:val="clear" w:color="auto" w:fill="auto"/>
        </w:rPr>
      </w:pPr>
      <w:r>
        <w:rPr>
          <w:rFonts w:cs="Arial"/>
          <w:b/>
          <w:bCs/>
        </w:rPr>
        <w:t xml:space="preserve">Corporations Act </w:t>
      </w:r>
      <w:r>
        <w:rPr>
          <w:rFonts w:cs="Arial"/>
        </w:rPr>
        <w:t xml:space="preserve">means the </w:t>
      </w:r>
      <w:r>
        <w:rPr>
          <w:rFonts w:cs="Arial"/>
          <w:i/>
          <w:iCs/>
        </w:rPr>
        <w:t xml:space="preserve">Corporations Act 2001 </w:t>
      </w:r>
      <w:r>
        <w:rPr>
          <w:rFonts w:cs="Arial"/>
        </w:rPr>
        <w:t>(</w:t>
      </w:r>
      <w:r>
        <w:rPr>
          <w:rFonts w:cs="Arial"/>
        </w:rPr>
        <w:t>Cth</w:t>
      </w:r>
      <w:r>
        <w:rPr>
          <w:rFonts w:cs="Arial"/>
        </w:rPr>
        <w:t>).</w:t>
      </w:r>
    </w:p>
    <w:p w:rsidR="00236225">
      <w:pPr>
        <w:autoSpaceDE w:val="0"/>
        <w:autoSpaceDN w:val="0"/>
        <w:adjustRightInd w:val="0"/>
        <w:ind w:left="709"/>
        <w:rPr>
          <w:rFonts w:cs="Arial"/>
          <w:b/>
          <w:bCs/>
          <w:color w:val="auto"/>
          <w:shd w:val="clear" w:color="auto" w:fill="auto"/>
        </w:rPr>
      </w:pPr>
    </w:p>
    <w:p w:rsidR="00473F7A">
      <w:pPr>
        <w:autoSpaceDE w:val="0"/>
        <w:autoSpaceDN w:val="0"/>
        <w:adjustRightInd w:val="0"/>
        <w:ind w:left="709"/>
        <w:rPr>
          <w:rFonts w:cs="Arial"/>
          <w:b/>
          <w:bCs/>
          <w:color w:val="auto"/>
          <w:shd w:val="clear" w:color="auto" w:fill="auto"/>
        </w:rPr>
      </w:pPr>
      <w:r>
        <w:rPr>
          <w:rFonts w:cs="Arial"/>
          <w:b/>
          <w:bCs/>
        </w:rPr>
        <w:t xml:space="preserve">Court </w:t>
      </w:r>
      <w:r w:rsidRPr="00641193">
        <w:rPr>
          <w:rFonts w:cs="Arial"/>
          <w:bCs/>
        </w:rPr>
        <w:t>means the Federal Court of Australia.</w:t>
      </w:r>
    </w:p>
    <w:p w:rsidR="00473F7A">
      <w:pPr>
        <w:autoSpaceDE w:val="0"/>
        <w:autoSpaceDN w:val="0"/>
        <w:adjustRightInd w:val="0"/>
        <w:ind w:left="709"/>
        <w:rPr>
          <w:rFonts w:cs="Arial"/>
          <w:b/>
          <w:bCs/>
          <w:color w:val="auto"/>
          <w:shd w:val="clear" w:color="auto" w:fill="auto"/>
        </w:rPr>
      </w:pPr>
    </w:p>
    <w:p w:rsidR="00D36516" w:rsidP="00D36516">
      <w:pPr>
        <w:autoSpaceDE w:val="0"/>
        <w:autoSpaceDN w:val="0"/>
        <w:adjustRightInd w:val="0"/>
        <w:ind w:left="709"/>
        <w:rPr>
          <w:color w:val="auto"/>
          <w:shd w:val="clear" w:color="auto" w:fill="auto"/>
        </w:rPr>
      </w:pPr>
      <w:bookmarkStart w:id="1" w:name="_Ref269981364"/>
      <w:r w:rsidRPr="00995441">
        <w:rPr>
          <w:rFonts w:cs="Arial"/>
          <w:b/>
          <w:bCs/>
        </w:rPr>
        <w:t>Court</w:t>
      </w:r>
      <w:r w:rsidRPr="00995441">
        <w:rPr>
          <w:b/>
        </w:rPr>
        <w:t xml:space="preserve"> Confirmation</w:t>
      </w:r>
      <w:r w:rsidRPr="00995441">
        <w:t xml:space="preserve"> means the Court having made an order confirming the Scheme in accordance with section 17F(1) of the Insurance Act, either without modifications or with modificati</w:t>
      </w:r>
      <w:r>
        <w:t xml:space="preserve">ons acceptable to </w:t>
      </w:r>
      <w:r w:rsidR="00D00C49">
        <w:t>GLA</w:t>
      </w:r>
      <w:r>
        <w:t xml:space="preserve"> and </w:t>
      </w:r>
      <w:r w:rsidR="00D00C49">
        <w:t>Gordian</w:t>
      </w:r>
      <w:r w:rsidR="009676DA">
        <w:t xml:space="preserve"> (each acting reasonably)</w:t>
      </w:r>
      <w:r>
        <w:t>.</w:t>
      </w:r>
      <w:bookmarkEnd w:id="1"/>
    </w:p>
    <w:p w:rsidR="00D36516" w:rsidP="00D36516">
      <w:pPr>
        <w:autoSpaceDE w:val="0"/>
        <w:autoSpaceDN w:val="0"/>
        <w:adjustRightInd w:val="0"/>
        <w:ind w:left="709"/>
        <w:rPr>
          <w:b/>
          <w:color w:val="auto"/>
          <w:shd w:val="clear" w:color="auto" w:fill="auto"/>
        </w:rPr>
      </w:pPr>
    </w:p>
    <w:p w:rsidR="00A12BEE" w:rsidP="00A12BEE">
      <w:pPr>
        <w:ind w:left="709"/>
        <w:rPr>
          <w:color w:val="auto"/>
          <w:shd w:val="clear" w:color="auto" w:fill="auto"/>
        </w:rPr>
      </w:pPr>
      <w:r>
        <w:rPr>
          <w:b/>
          <w:bCs/>
        </w:rPr>
        <w:t xml:space="preserve">Framework and Transfer Deed </w:t>
      </w:r>
      <w:r>
        <w:t xml:space="preserve">means the Framework and Transfer deed dated </w:t>
      </w:r>
      <w:r w:rsidR="00B11AA7">
        <w:t>10 September 2019</w:t>
      </w:r>
      <w:r w:rsidR="002A7763">
        <w:t xml:space="preserve"> </w:t>
      </w:r>
      <w:r>
        <w:t>between GLA, HSB</w:t>
      </w:r>
      <w:r w:rsidR="002A7763">
        <w:t xml:space="preserve"> and</w:t>
      </w:r>
      <w:r>
        <w:t xml:space="preserve"> Gordian.</w:t>
      </w:r>
    </w:p>
    <w:p w:rsidR="00A12BEE" w:rsidP="00E0285A">
      <w:pPr>
        <w:ind w:left="709"/>
        <w:rPr>
          <w:b/>
          <w:bCs/>
          <w:color w:val="auto"/>
          <w:shd w:val="clear" w:color="auto" w:fill="auto"/>
        </w:rPr>
      </w:pPr>
    </w:p>
    <w:p w:rsidR="00E0285A" w:rsidP="00E0285A">
      <w:pPr>
        <w:ind w:left="709"/>
        <w:rPr>
          <w:b/>
          <w:bCs/>
          <w:color w:val="auto"/>
          <w:shd w:val="clear" w:color="auto" w:fill="auto"/>
        </w:rPr>
      </w:pPr>
      <w:r>
        <w:rPr>
          <w:b/>
          <w:bCs/>
        </w:rPr>
        <w:t xml:space="preserve">GLA </w:t>
      </w:r>
      <w:r>
        <w:rPr>
          <w:bCs/>
        </w:rPr>
        <w:t>has the meaning given in paragraph 1.</w:t>
      </w:r>
      <w:r w:rsidR="002551D5">
        <w:rPr>
          <w:bCs/>
        </w:rPr>
        <w:t>1</w:t>
      </w:r>
      <w:r>
        <w:rPr>
          <w:bCs/>
        </w:rPr>
        <w:t>.</w:t>
      </w:r>
      <w:r>
        <w:rPr>
          <w:b/>
          <w:bCs/>
        </w:rPr>
        <w:t xml:space="preserve"> </w:t>
      </w:r>
    </w:p>
    <w:p w:rsidR="00E0285A">
      <w:pPr>
        <w:autoSpaceDE w:val="0"/>
        <w:autoSpaceDN w:val="0"/>
        <w:adjustRightInd w:val="0"/>
        <w:ind w:left="709"/>
        <w:rPr>
          <w:rFonts w:cs="Arial"/>
          <w:b/>
          <w:bCs/>
          <w:color w:val="auto"/>
          <w:shd w:val="clear" w:color="auto" w:fill="auto"/>
        </w:rPr>
      </w:pPr>
    </w:p>
    <w:p w:rsidR="00D36516" w:rsidRPr="00826ED3" w:rsidP="00D36516">
      <w:pPr>
        <w:ind w:left="709"/>
        <w:rPr>
          <w:bCs/>
          <w:color w:val="auto"/>
          <w:shd w:val="clear" w:color="auto" w:fill="auto"/>
        </w:rPr>
      </w:pPr>
      <w:r w:rsidRPr="00826ED3">
        <w:rPr>
          <w:b/>
          <w:bCs/>
        </w:rPr>
        <w:t>GLA Business</w:t>
      </w:r>
      <w:r>
        <w:t xml:space="preserve"> means:</w:t>
      </w:r>
    </w:p>
    <w:p w:rsidR="00D36516" w:rsidP="00D36516">
      <w:pPr>
        <w:pStyle w:val="Heading3"/>
        <w:rPr>
          <w:color w:val="auto"/>
          <w:shd w:val="clear" w:color="auto" w:fill="auto"/>
        </w:rPr>
      </w:pPr>
      <w:r>
        <w:t>all insurance business underwritten on behalf of GLA by Hollard Commercial Insurance Pty Ltd;</w:t>
      </w:r>
    </w:p>
    <w:p w:rsidR="00D36516" w:rsidP="00D36516">
      <w:pPr>
        <w:pStyle w:val="Heading3"/>
        <w:rPr>
          <w:color w:val="auto"/>
          <w:shd w:val="clear" w:color="auto" w:fill="auto"/>
        </w:rPr>
      </w:pPr>
      <w:r>
        <w:t xml:space="preserve">all insurance business previously underwritten by </w:t>
      </w:r>
      <w:r>
        <w:t>Calliden</w:t>
      </w:r>
      <w:r>
        <w:t xml:space="preserve"> Insurance Limited and vested in GLA with effect from 1 April 2017 by way of a transfer scheme under Division 3A of the </w:t>
      </w:r>
      <w:r w:rsidRPr="003213F3">
        <w:rPr>
          <w:i/>
        </w:rPr>
        <w:t>Insurance Act 1973</w:t>
      </w:r>
      <w:r>
        <w:t xml:space="preserve"> (</w:t>
      </w:r>
      <w:r>
        <w:t>Cth</w:t>
      </w:r>
      <w:r>
        <w:t xml:space="preserve">); </w:t>
      </w:r>
    </w:p>
    <w:p w:rsidR="00D36516" w:rsidP="00D36516">
      <w:pPr>
        <w:pStyle w:val="Heading3"/>
        <w:rPr>
          <w:color w:val="auto"/>
          <w:shd w:val="clear" w:color="auto" w:fill="auto"/>
        </w:rPr>
      </w:pPr>
      <w:r>
        <w:t xml:space="preserve">all insurance business underwritten on behalf of GLA by </w:t>
      </w:r>
      <w:r>
        <w:t>Mecon</w:t>
      </w:r>
      <w:r>
        <w:t xml:space="preserve"> Insurance Pty Ltd ACN 059 310 904 (formerly named </w:t>
      </w:r>
      <w:r>
        <w:t>Mecon</w:t>
      </w:r>
      <w:r>
        <w:t xml:space="preserve"> </w:t>
      </w:r>
      <w:r>
        <w:t>Winsure</w:t>
      </w:r>
      <w:r>
        <w:t xml:space="preserve"> Insurance Group Pty Ltd);</w:t>
      </w:r>
    </w:p>
    <w:p w:rsidR="00D36516" w:rsidP="00D36516">
      <w:pPr>
        <w:pStyle w:val="Heading3"/>
        <w:rPr>
          <w:color w:val="auto"/>
          <w:shd w:val="clear" w:color="auto" w:fill="auto"/>
        </w:rPr>
      </w:pPr>
      <w:r>
        <w:t>all insurance business underwritten on behalf of GLA by PEN Underwriting Pty Ltd;</w:t>
      </w:r>
    </w:p>
    <w:p w:rsidR="00D36516" w:rsidP="00D36516">
      <w:pPr>
        <w:pStyle w:val="Heading3"/>
        <w:rPr>
          <w:color w:val="auto"/>
          <w:shd w:val="clear" w:color="auto" w:fill="auto"/>
        </w:rPr>
      </w:pPr>
      <w:r>
        <w:t>all insurance business underwritten on behalf of GLA by Solution Underwriting Agency Pty Ltd;</w:t>
      </w:r>
    </w:p>
    <w:p w:rsidR="00D36516" w:rsidP="00D36516">
      <w:pPr>
        <w:pStyle w:val="Heading3"/>
        <w:rPr>
          <w:color w:val="auto"/>
          <w:shd w:val="clear" w:color="auto" w:fill="auto"/>
        </w:rPr>
      </w:pPr>
      <w:r>
        <w:t xml:space="preserve">all insurance business underwritten on behalf of GLA by </w:t>
      </w:r>
      <w:r>
        <w:t>ATC</w:t>
      </w:r>
      <w:r>
        <w:t xml:space="preserve"> Insurance Solutions Pty Ltd;</w:t>
      </w:r>
    </w:p>
    <w:p w:rsidR="00D36516" w:rsidP="00D36516">
      <w:pPr>
        <w:pStyle w:val="Heading3"/>
        <w:rPr>
          <w:color w:val="auto"/>
          <w:shd w:val="clear" w:color="auto" w:fill="auto"/>
        </w:rPr>
      </w:pPr>
      <w:r>
        <w:t>all insurance business underwritten on behalf of GLA by Sports Underwriting Australia Pty Ltd;</w:t>
      </w:r>
    </w:p>
    <w:p w:rsidR="00D36516" w:rsidP="00D36516">
      <w:pPr>
        <w:pStyle w:val="Heading3"/>
        <w:rPr>
          <w:color w:val="auto"/>
          <w:shd w:val="clear" w:color="auto" w:fill="auto"/>
        </w:rPr>
      </w:pPr>
      <w:r>
        <w:t>all insurance business underwritten on behalf of GLA by Residential Builders Underwriting Agency Pty Ltd;</w:t>
      </w:r>
    </w:p>
    <w:p w:rsidR="00D36516" w:rsidP="00D36516">
      <w:pPr>
        <w:pStyle w:val="Heading3"/>
        <w:rPr>
          <w:color w:val="auto"/>
          <w:shd w:val="clear" w:color="auto" w:fill="auto"/>
        </w:rPr>
      </w:pPr>
      <w:r>
        <w:t>all insurance business underwritten on behalf of GLA by Celestial Underwriting Agency Pty Ltd; and</w:t>
      </w:r>
    </w:p>
    <w:p w:rsidR="00D36516" w:rsidRPr="003213F3" w:rsidP="00D36516">
      <w:pPr>
        <w:pStyle w:val="Heading3"/>
        <w:rPr>
          <w:color w:val="auto"/>
          <w:shd w:val="clear" w:color="auto" w:fill="auto"/>
        </w:rPr>
      </w:pPr>
      <w:r>
        <w:t xml:space="preserve">all insurance business underwritten on behalf of GLA by </w:t>
      </w:r>
      <w:r>
        <w:t>SURA</w:t>
      </w:r>
      <w:r>
        <w:t xml:space="preserve"> Construction Pty Ltd.</w:t>
      </w:r>
    </w:p>
    <w:p w:rsidR="00D36516" w:rsidP="00E0285A">
      <w:pPr>
        <w:ind w:left="709"/>
        <w:rPr>
          <w:b/>
          <w:bCs/>
          <w:color w:val="auto"/>
          <w:shd w:val="clear" w:color="auto" w:fill="auto"/>
        </w:rPr>
      </w:pPr>
    </w:p>
    <w:p w:rsidR="00E0285A" w:rsidP="00E0285A">
      <w:pPr>
        <w:ind w:left="709"/>
        <w:rPr>
          <w:b/>
          <w:bCs/>
          <w:color w:val="auto"/>
          <w:shd w:val="clear" w:color="auto" w:fill="auto"/>
        </w:rPr>
      </w:pPr>
      <w:r>
        <w:rPr>
          <w:b/>
          <w:bCs/>
        </w:rPr>
        <w:t xml:space="preserve">Gordian </w:t>
      </w:r>
      <w:r>
        <w:rPr>
          <w:bCs/>
        </w:rPr>
        <w:t>has th</w:t>
      </w:r>
      <w:r w:rsidR="00EB5C36">
        <w:rPr>
          <w:bCs/>
        </w:rPr>
        <w:t>e meaning given in paragraph 1.1</w:t>
      </w:r>
      <w:r>
        <w:rPr>
          <w:bCs/>
        </w:rPr>
        <w:t>.</w:t>
      </w:r>
      <w:r>
        <w:rPr>
          <w:b/>
          <w:bCs/>
        </w:rPr>
        <w:t xml:space="preserve"> </w:t>
      </w:r>
    </w:p>
    <w:p w:rsidR="00A12BEE" w:rsidP="00A12BEE">
      <w:pPr>
        <w:ind w:left="709"/>
        <w:rPr>
          <w:color w:val="auto"/>
          <w:shd w:val="clear" w:color="auto" w:fill="auto"/>
        </w:rPr>
      </w:pPr>
    </w:p>
    <w:p w:rsidR="00A12BEE" w:rsidP="00A12BEE">
      <w:pPr>
        <w:ind w:left="709"/>
        <w:rPr>
          <w:color w:val="auto"/>
          <w:shd w:val="clear" w:color="auto" w:fill="auto"/>
        </w:rPr>
      </w:pPr>
      <w:r>
        <w:rPr>
          <w:b/>
          <w:bCs/>
        </w:rPr>
        <w:t xml:space="preserve">HSB </w:t>
      </w:r>
      <w:r>
        <w:t>means the Australian branch of HSB Engineering Insurance Ltd (ABN 24 076 158 962) of New London House, 6 London Street, London EC3R 7LP</w:t>
      </w:r>
      <w:r w:rsidR="000107EE">
        <w:t>.</w:t>
      </w:r>
    </w:p>
    <w:p w:rsidR="000107EE" w:rsidP="00A12BEE">
      <w:pPr>
        <w:ind w:left="709"/>
        <w:rPr>
          <w:color w:val="auto"/>
          <w:shd w:val="clear" w:color="auto" w:fill="auto"/>
        </w:rPr>
      </w:pPr>
    </w:p>
    <w:p w:rsidR="000107EE" w:rsidRPr="000107EE" w:rsidP="00A12BEE">
      <w:pPr>
        <w:ind w:left="709"/>
        <w:rPr>
          <w:color w:val="auto"/>
          <w:shd w:val="clear" w:color="auto" w:fill="auto"/>
        </w:rPr>
      </w:pPr>
      <w:r>
        <w:rPr>
          <w:b/>
        </w:rPr>
        <w:t xml:space="preserve">Innovation Group Contracts </w:t>
      </w:r>
      <w:r>
        <w:t xml:space="preserve">has the meaning given in the Framework and Transfer Deed. </w:t>
      </w:r>
    </w:p>
    <w:p w:rsidR="00A12BEE">
      <w:pPr>
        <w:autoSpaceDE w:val="0"/>
        <w:autoSpaceDN w:val="0"/>
        <w:adjustRightInd w:val="0"/>
        <w:ind w:left="709"/>
        <w:rPr>
          <w:rFonts w:cs="Arial"/>
          <w:b/>
          <w:bCs/>
          <w:color w:val="auto"/>
          <w:shd w:val="clear" w:color="auto" w:fill="auto"/>
        </w:rPr>
      </w:pPr>
    </w:p>
    <w:p w:rsidR="00236225">
      <w:pPr>
        <w:autoSpaceDE w:val="0"/>
        <w:autoSpaceDN w:val="0"/>
        <w:adjustRightInd w:val="0"/>
        <w:ind w:left="709"/>
        <w:rPr>
          <w:rFonts w:cs="Arial"/>
          <w:color w:val="auto"/>
          <w:shd w:val="clear" w:color="auto" w:fill="auto"/>
        </w:rPr>
      </w:pPr>
      <w:r>
        <w:rPr>
          <w:rFonts w:cs="Arial"/>
          <w:b/>
          <w:bCs/>
        </w:rPr>
        <w:t xml:space="preserve">Insurance Act </w:t>
      </w:r>
      <w:r>
        <w:rPr>
          <w:rFonts w:cs="Arial"/>
        </w:rPr>
        <w:t xml:space="preserve">means the </w:t>
      </w:r>
      <w:r>
        <w:rPr>
          <w:rFonts w:cs="Arial"/>
          <w:i/>
          <w:iCs/>
        </w:rPr>
        <w:t xml:space="preserve">Insurance Act 1973 </w:t>
      </w:r>
      <w:r>
        <w:rPr>
          <w:rFonts w:cs="Arial"/>
        </w:rPr>
        <w:t>(</w:t>
      </w:r>
      <w:r>
        <w:rPr>
          <w:rFonts w:cs="Arial"/>
        </w:rPr>
        <w:t>Cth</w:t>
      </w:r>
      <w:r>
        <w:rPr>
          <w:rFonts w:cs="Arial"/>
        </w:rPr>
        <w:t>).</w:t>
      </w:r>
    </w:p>
    <w:p w:rsidR="00D36516" w:rsidP="00D36516">
      <w:pPr>
        <w:pStyle w:val="BodyText2"/>
        <w:rPr>
          <w:color w:val="auto"/>
          <w:shd w:val="clear" w:color="auto" w:fill="auto"/>
        </w:rPr>
      </w:pPr>
      <w:r>
        <w:rPr>
          <w:b/>
        </w:rPr>
        <w:t>MGA</w:t>
      </w:r>
      <w:r>
        <w:rPr>
          <w:b/>
        </w:rPr>
        <w:t xml:space="preserve"> Agreement</w:t>
      </w:r>
      <w:r w:rsidR="00DF0110">
        <w:rPr>
          <w:b/>
        </w:rPr>
        <w:t>s</w:t>
      </w:r>
      <w:r>
        <w:rPr>
          <w:b/>
        </w:rPr>
        <w:t xml:space="preserve"> </w:t>
      </w:r>
      <w:r>
        <w:t>has the meaning given in the Framework and Transfer Deed</w:t>
      </w:r>
      <w:r w:rsidR="00C71D2F">
        <w:t>.</w:t>
      </w:r>
    </w:p>
    <w:p w:rsidR="00A12BEE" w:rsidP="00A12BEE">
      <w:pPr>
        <w:ind w:left="709"/>
        <w:rPr>
          <w:b/>
          <w:bCs/>
          <w:color w:val="auto"/>
          <w:shd w:val="clear" w:color="auto" w:fill="auto"/>
        </w:rPr>
      </w:pPr>
    </w:p>
    <w:p w:rsidR="00A12BEE" w:rsidP="00A12BEE">
      <w:pPr>
        <w:ind w:left="709"/>
        <w:rPr>
          <w:color w:val="auto"/>
          <w:shd w:val="clear" w:color="auto" w:fill="auto"/>
        </w:rPr>
      </w:pPr>
      <w:r w:rsidRPr="00B64E44">
        <w:rPr>
          <w:b/>
          <w:bCs/>
        </w:rPr>
        <w:t xml:space="preserve">Scheme </w:t>
      </w:r>
      <w:r w:rsidR="002A7763">
        <w:t xml:space="preserve">means the scheme for the transfer of the Transferring Assets and the Transferring Liabilities </w:t>
      </w:r>
      <w:r w:rsidR="002F1B2C">
        <w:t>from GLA to</w:t>
      </w:r>
      <w:r w:rsidR="002A7763">
        <w:t xml:space="preserve"> Gordian, </w:t>
      </w:r>
      <w:r w:rsidR="00DC7001">
        <w:t xml:space="preserve">by way of a statutory vesting </w:t>
      </w:r>
      <w:r w:rsidR="002A7763">
        <w:t>in accordance with Division 3A of Part III of the Insurance Act, with any modifications as the Court thinks appropriate to confirm the Scheme and as agreed by GLA and Gordian, each acting reasonably.</w:t>
      </w:r>
    </w:p>
    <w:p w:rsidR="00502276" w:rsidP="00C71D2F">
      <w:pPr>
        <w:spacing w:before="240"/>
        <w:ind w:firstLine="709"/>
        <w:outlineLvl w:val="2"/>
        <w:rPr>
          <w:b/>
          <w:color w:val="auto"/>
          <w:shd w:val="clear" w:color="auto" w:fill="auto"/>
        </w:rPr>
      </w:pPr>
      <w:r>
        <w:rPr>
          <w:b/>
        </w:rPr>
        <w:t xml:space="preserve">Transferee </w:t>
      </w:r>
      <w:r w:rsidRPr="005308B2">
        <w:t xml:space="preserve">means </w:t>
      </w:r>
      <w:r>
        <w:t>Gordian.</w:t>
      </w:r>
    </w:p>
    <w:p w:rsidR="002A7763" w:rsidP="00C71D2F">
      <w:pPr>
        <w:spacing w:before="240"/>
        <w:ind w:firstLine="709"/>
        <w:outlineLvl w:val="2"/>
        <w:rPr>
          <w:b/>
          <w:color w:val="auto"/>
          <w:shd w:val="clear" w:color="auto" w:fill="auto"/>
        </w:rPr>
      </w:pPr>
      <w:r>
        <w:rPr>
          <w:b/>
        </w:rPr>
        <w:t>Transferor</w:t>
      </w:r>
      <w:r>
        <w:rPr>
          <w:b/>
        </w:rPr>
        <w:t xml:space="preserve"> </w:t>
      </w:r>
      <w:r w:rsidRPr="005308B2">
        <w:t>means</w:t>
      </w:r>
      <w:r>
        <w:rPr>
          <w:b/>
        </w:rPr>
        <w:t xml:space="preserve"> </w:t>
      </w:r>
      <w:r w:rsidRPr="00080EAE">
        <w:t>GLA.</w:t>
      </w:r>
    </w:p>
    <w:p w:rsidR="00C71D2F" w:rsidRPr="00C71D2F" w:rsidP="00C71D2F">
      <w:pPr>
        <w:spacing w:before="240"/>
        <w:ind w:firstLine="709"/>
        <w:outlineLvl w:val="2"/>
        <w:rPr>
          <w:color w:val="auto"/>
          <w:shd w:val="clear" w:color="auto" w:fill="auto"/>
        </w:rPr>
      </w:pPr>
      <w:r>
        <w:rPr>
          <w:b/>
        </w:rPr>
        <w:t>Transferor</w:t>
      </w:r>
      <w:r w:rsidRPr="00C71D2F">
        <w:rPr>
          <w:b/>
        </w:rPr>
        <w:t xml:space="preserve"> Group</w:t>
      </w:r>
      <w:r w:rsidRPr="00C71D2F">
        <w:t xml:space="preserve"> </w:t>
      </w:r>
      <w:r>
        <w:t>has the meaning given in the Framework and Transfer Deed.</w:t>
      </w:r>
    </w:p>
    <w:p w:rsidR="00C71D2F" w:rsidRPr="00C71D2F" w:rsidP="00CE560B">
      <w:pPr>
        <w:spacing w:before="240"/>
        <w:ind w:left="709"/>
        <w:outlineLvl w:val="2"/>
        <w:rPr>
          <w:color w:val="auto"/>
          <w:shd w:val="clear" w:color="auto" w:fill="auto"/>
        </w:rPr>
      </w:pPr>
      <w:r>
        <w:rPr>
          <w:b/>
        </w:rPr>
        <w:t>Transferor</w:t>
      </w:r>
      <w:r w:rsidRPr="00C71D2F">
        <w:rPr>
          <w:b/>
        </w:rPr>
        <w:t xml:space="preserve"> </w:t>
      </w:r>
      <w:r w:rsidR="002A7763">
        <w:rPr>
          <w:b/>
        </w:rPr>
        <w:t>Intra-</w:t>
      </w:r>
      <w:r w:rsidRPr="00C71D2F">
        <w:rPr>
          <w:b/>
        </w:rPr>
        <w:t xml:space="preserve">Group </w:t>
      </w:r>
      <w:r w:rsidR="002A7763">
        <w:rPr>
          <w:b/>
        </w:rPr>
        <w:t xml:space="preserve">Reinsurance </w:t>
      </w:r>
      <w:r w:rsidRPr="00C71D2F">
        <w:t xml:space="preserve">means any policy of reinsurance under which </w:t>
      </w:r>
      <w:r w:rsidR="00DE0AEA">
        <w:t xml:space="preserve">the </w:t>
      </w:r>
      <w:r>
        <w:t>Transferor</w:t>
      </w:r>
      <w:r w:rsidR="002A7763">
        <w:t xml:space="preserve"> is reinsured by a person who is a </w:t>
      </w:r>
      <w:r>
        <w:t>Transferor</w:t>
      </w:r>
      <w:r w:rsidRPr="00C71D2F">
        <w:t xml:space="preserve"> Group Member.</w:t>
      </w:r>
    </w:p>
    <w:p w:rsidR="002A7763" w:rsidRPr="002A7763" w:rsidP="00080EAE">
      <w:pPr>
        <w:spacing w:before="240"/>
        <w:outlineLvl w:val="2"/>
        <w:rPr>
          <w:color w:val="auto"/>
          <w:shd w:val="clear" w:color="auto" w:fill="auto"/>
        </w:rPr>
      </w:pPr>
      <w:r>
        <w:rPr>
          <w:b/>
        </w:rPr>
        <w:tab/>
      </w:r>
      <w:r w:rsidRPr="002A7763">
        <w:rPr>
          <w:b/>
        </w:rPr>
        <w:t xml:space="preserve">Third Party Claim </w:t>
      </w:r>
      <w:r w:rsidRPr="002A7763">
        <w:t xml:space="preserve">has the meaning given in </w:t>
      </w:r>
      <w:r>
        <w:t>the Framework and Transfer Deed</w:t>
      </w:r>
      <w:r w:rsidRPr="002A7763">
        <w:t>.</w:t>
      </w:r>
    </w:p>
    <w:p w:rsidR="002A7763" w:rsidRPr="002A7763" w:rsidP="00CE560B">
      <w:pPr>
        <w:spacing w:before="240"/>
        <w:ind w:left="709"/>
        <w:outlineLvl w:val="2"/>
        <w:rPr>
          <w:color w:val="auto"/>
          <w:shd w:val="clear" w:color="auto" w:fill="auto"/>
        </w:rPr>
      </w:pPr>
      <w:r>
        <w:rPr>
          <w:b/>
        </w:rPr>
        <w:tab/>
      </w:r>
      <w:r w:rsidRPr="002A7763">
        <w:rPr>
          <w:b/>
        </w:rPr>
        <w:t xml:space="preserve">Third Party Reinsurance </w:t>
      </w:r>
      <w:r w:rsidRPr="002A7763">
        <w:t xml:space="preserve">means any policy of reinsurance under which </w:t>
      </w:r>
      <w:r w:rsidR="00DE0AEA">
        <w:t xml:space="preserve">the </w:t>
      </w:r>
      <w:r w:rsidR="004354CB">
        <w:t>Transferor</w:t>
      </w:r>
      <w:r w:rsidRPr="002A7763">
        <w:t xml:space="preserve"> is reinsured by a person who is not a </w:t>
      </w:r>
      <w:r w:rsidR="004354CB">
        <w:t>Transferor</w:t>
      </w:r>
      <w:r w:rsidRPr="002A7763">
        <w:t xml:space="preserve"> Group Member.</w:t>
      </w:r>
    </w:p>
    <w:p w:rsidR="002A7763" w:rsidP="00A12BEE">
      <w:pPr>
        <w:autoSpaceDE w:val="0"/>
        <w:autoSpaceDN w:val="0"/>
        <w:adjustRightInd w:val="0"/>
        <w:ind w:left="709"/>
        <w:rPr>
          <w:b/>
          <w:color w:val="auto"/>
          <w:shd w:val="clear" w:color="auto" w:fill="auto"/>
        </w:rPr>
      </w:pPr>
    </w:p>
    <w:p w:rsidR="00A12BEE" w:rsidP="00A12BEE">
      <w:pPr>
        <w:autoSpaceDE w:val="0"/>
        <w:autoSpaceDN w:val="0"/>
        <w:adjustRightInd w:val="0"/>
        <w:ind w:left="709"/>
        <w:rPr>
          <w:color w:val="auto"/>
          <w:shd w:val="clear" w:color="auto" w:fill="auto"/>
        </w:rPr>
      </w:pPr>
      <w:r>
        <w:rPr>
          <w:b/>
        </w:rPr>
        <w:t xml:space="preserve">Transfer Time </w:t>
      </w:r>
      <w:r>
        <w:t>means the time and date that the Court specifies as the commencement time and date of the Scheme.</w:t>
      </w:r>
    </w:p>
    <w:p w:rsidR="00F80D2B" w:rsidP="00D36516">
      <w:pPr>
        <w:pStyle w:val="BodyText2"/>
        <w:rPr>
          <w:color w:val="auto"/>
          <w:shd w:val="clear" w:color="auto" w:fill="auto"/>
        </w:rPr>
      </w:pPr>
      <w:r w:rsidRPr="00D36516">
        <w:rPr>
          <w:b/>
          <w:bCs/>
        </w:rPr>
        <w:t>Transferring Assets</w:t>
      </w:r>
      <w:r>
        <w:t xml:space="preserve"> means:</w:t>
      </w:r>
    </w:p>
    <w:p w:rsidR="00F80D2B" w:rsidP="00D36516">
      <w:pPr>
        <w:pStyle w:val="Heading3"/>
        <w:numPr>
          <w:ilvl w:val="2"/>
          <w:numId w:val="48"/>
        </w:numPr>
        <w:rPr>
          <w:color w:val="auto"/>
          <w:shd w:val="clear" w:color="auto" w:fill="auto"/>
        </w:rPr>
      </w:pPr>
      <w:r>
        <w:t>the rights and benefits under the Transferring Policies;</w:t>
      </w:r>
    </w:p>
    <w:p w:rsidR="00F80D2B" w:rsidP="00D36516">
      <w:pPr>
        <w:pStyle w:val="Heading3"/>
        <w:rPr>
          <w:color w:val="auto"/>
          <w:shd w:val="clear" w:color="auto" w:fill="auto"/>
        </w:rPr>
      </w:pPr>
      <w:r>
        <w:t>the rights and benefits under the Transferring Contracts; and</w:t>
      </w:r>
    </w:p>
    <w:p w:rsidR="00F80D2B" w:rsidP="00D36516">
      <w:pPr>
        <w:pStyle w:val="Heading3"/>
        <w:rPr>
          <w:color w:val="auto"/>
          <w:shd w:val="clear" w:color="auto" w:fill="auto"/>
        </w:rPr>
      </w:pPr>
      <w:r>
        <w:t>the Transferring Records.</w:t>
      </w:r>
    </w:p>
    <w:p w:rsidR="00F80D2B" w:rsidP="00D36516">
      <w:pPr>
        <w:pStyle w:val="BodyText2"/>
        <w:rPr>
          <w:color w:val="auto"/>
          <w:shd w:val="clear" w:color="auto" w:fill="auto"/>
        </w:rPr>
      </w:pPr>
      <w:r w:rsidRPr="00D36516">
        <w:rPr>
          <w:b/>
          <w:bCs/>
        </w:rPr>
        <w:t>Transferring Contracts</w:t>
      </w:r>
      <w:r>
        <w:t xml:space="preserve"> means: </w:t>
      </w:r>
    </w:p>
    <w:p w:rsidR="00F80D2B" w:rsidP="007410D7">
      <w:pPr>
        <w:pStyle w:val="Heading3"/>
        <w:numPr>
          <w:ilvl w:val="2"/>
          <w:numId w:val="49"/>
        </w:numPr>
        <w:rPr>
          <w:color w:val="auto"/>
          <w:shd w:val="clear" w:color="auto" w:fill="auto"/>
        </w:rPr>
      </w:pPr>
      <w:r>
        <w:t>a</w:t>
      </w:r>
      <w:r w:rsidRPr="003213F3">
        <w:t>ll</w:t>
      </w:r>
      <w:r>
        <w:t xml:space="preserve"> </w:t>
      </w:r>
      <w:r>
        <w:t>MGA</w:t>
      </w:r>
      <w:r>
        <w:t xml:space="preserve"> Agreements</w:t>
      </w:r>
      <w:r w:rsidRPr="003213F3">
        <w:t>; and</w:t>
      </w:r>
    </w:p>
    <w:p w:rsidR="00DF0110" w:rsidRPr="005A2847" w:rsidP="00DF0110">
      <w:pPr>
        <w:pStyle w:val="Heading3"/>
        <w:rPr>
          <w:color w:val="auto"/>
          <w:shd w:val="clear" w:color="auto" w:fill="auto"/>
        </w:rPr>
      </w:pPr>
      <w:r w:rsidRPr="00A100B4">
        <w:t xml:space="preserve">the Innovation Group </w:t>
      </w:r>
      <w:r>
        <w:t>C</w:t>
      </w:r>
      <w:r w:rsidRPr="00A100B4">
        <w:t>ontracts</w:t>
      </w:r>
      <w:r>
        <w:t>.</w:t>
      </w:r>
    </w:p>
    <w:p w:rsidR="009676DA" w:rsidP="00D36516">
      <w:pPr>
        <w:pStyle w:val="BodyText2"/>
        <w:ind w:left="0" w:firstLine="709"/>
        <w:rPr>
          <w:color w:val="auto"/>
          <w:shd w:val="clear" w:color="auto" w:fill="auto"/>
        </w:rPr>
      </w:pPr>
      <w:r w:rsidRPr="00D36516">
        <w:rPr>
          <w:b/>
          <w:bCs/>
        </w:rPr>
        <w:t>Transferring Liabilities</w:t>
      </w:r>
      <w:r>
        <w:t xml:space="preserve"> means:</w:t>
      </w:r>
    </w:p>
    <w:p w:rsidR="009676DA" w:rsidP="00D36516">
      <w:pPr>
        <w:pStyle w:val="Heading3"/>
        <w:numPr>
          <w:ilvl w:val="2"/>
          <w:numId w:val="47"/>
        </w:numPr>
        <w:rPr>
          <w:color w:val="auto"/>
          <w:shd w:val="clear" w:color="auto" w:fill="auto"/>
        </w:rPr>
      </w:pPr>
      <w:r>
        <w:t xml:space="preserve">all of the claims, losses, liabilities and Costs of the </w:t>
      </w:r>
      <w:r w:rsidR="004354CB">
        <w:t>Transferor</w:t>
      </w:r>
      <w:r>
        <w:t xml:space="preserve"> of any kind under the Transferring Policies; and</w:t>
      </w:r>
    </w:p>
    <w:p w:rsidR="009676DA" w:rsidP="00D36516">
      <w:pPr>
        <w:pStyle w:val="Heading3"/>
        <w:rPr>
          <w:color w:val="auto"/>
          <w:shd w:val="clear" w:color="auto" w:fill="auto"/>
        </w:rPr>
      </w:pPr>
      <w:r>
        <w:t xml:space="preserve">all of the claims, losses, liabilities and Costs of the </w:t>
      </w:r>
      <w:r w:rsidR="004354CB">
        <w:t>Transferor</w:t>
      </w:r>
      <w:r>
        <w:t xml:space="preserve"> of any kind under the Transferring Contracts.</w:t>
      </w:r>
    </w:p>
    <w:p w:rsidR="00D36516" w:rsidRPr="00D36516" w:rsidP="00D36516">
      <w:pPr>
        <w:pStyle w:val="BodyText2"/>
        <w:ind w:left="0" w:firstLine="709"/>
        <w:rPr>
          <w:b/>
          <w:bCs/>
          <w:color w:val="auto"/>
          <w:shd w:val="clear" w:color="auto" w:fill="auto"/>
        </w:rPr>
      </w:pPr>
      <w:r w:rsidRPr="00D36516">
        <w:rPr>
          <w:b/>
          <w:bCs/>
        </w:rPr>
        <w:t xml:space="preserve">Transferring Policies </w:t>
      </w:r>
      <w:r w:rsidRPr="00D36516">
        <w:rPr>
          <w:bCs/>
        </w:rPr>
        <w:t xml:space="preserve">means all contracts of insurance issued, entered into or assumed </w:t>
      </w:r>
      <w:r>
        <w:rPr>
          <w:bCs/>
        </w:rPr>
        <w:t xml:space="preserve"> </w:t>
      </w:r>
      <w:r>
        <w:rPr>
          <w:bCs/>
        </w:rPr>
        <w:tab/>
      </w:r>
      <w:r w:rsidRPr="00D36516">
        <w:rPr>
          <w:bCs/>
        </w:rPr>
        <w:t xml:space="preserve">by GLA in the conduct of the GLA Business prior to the Transfer Time, including those </w:t>
      </w:r>
      <w:r w:rsidR="00080EAE">
        <w:rPr>
          <w:bCs/>
        </w:rPr>
        <w:tab/>
      </w:r>
      <w:r w:rsidRPr="00D36516">
        <w:rPr>
          <w:bCs/>
        </w:rPr>
        <w:t xml:space="preserve">contracts of insurance set out in the list of policies </w:t>
      </w:r>
      <w:r w:rsidR="00C71D2F">
        <w:rPr>
          <w:bCs/>
        </w:rPr>
        <w:t xml:space="preserve">provided with the Framework and </w:t>
      </w:r>
      <w:r w:rsidR="00080EAE">
        <w:rPr>
          <w:bCs/>
        </w:rPr>
        <w:tab/>
      </w:r>
      <w:r w:rsidR="00C71D2F">
        <w:rPr>
          <w:bCs/>
        </w:rPr>
        <w:t>Transfer Deed</w:t>
      </w:r>
      <w:r w:rsidRPr="00D36516">
        <w:rPr>
          <w:bCs/>
        </w:rPr>
        <w:t>, and any</w:t>
      </w:r>
      <w:r w:rsidR="00C71D2F">
        <w:rPr>
          <w:bCs/>
        </w:rPr>
        <w:t xml:space="preserve"> </w:t>
      </w:r>
      <w:r>
        <w:rPr>
          <w:bCs/>
        </w:rPr>
        <w:t>e</w:t>
      </w:r>
      <w:r w:rsidRPr="00D36516">
        <w:rPr>
          <w:bCs/>
        </w:rPr>
        <w:t xml:space="preserve">ndorsements, </w:t>
      </w:r>
      <w:r w:rsidR="00C71D2F">
        <w:rPr>
          <w:bCs/>
        </w:rPr>
        <w:t>e</w:t>
      </w:r>
      <w:r w:rsidRPr="00D36516">
        <w:rPr>
          <w:bCs/>
        </w:rPr>
        <w:t xml:space="preserve">xtensions or </w:t>
      </w:r>
      <w:r>
        <w:rPr>
          <w:bCs/>
        </w:rPr>
        <w:t>a</w:t>
      </w:r>
      <w:r w:rsidRPr="00D36516">
        <w:rPr>
          <w:bCs/>
        </w:rPr>
        <w:t xml:space="preserve">mendments thereto, including all </w:t>
      </w:r>
      <w:r w:rsidR="00080EAE">
        <w:rPr>
          <w:bCs/>
        </w:rPr>
        <w:tab/>
      </w:r>
      <w:r w:rsidR="002A7763">
        <w:rPr>
          <w:bCs/>
        </w:rPr>
        <w:t xml:space="preserve">Third Party Reinsurance </w:t>
      </w:r>
      <w:r w:rsidR="00C71D2F">
        <w:rPr>
          <w:bCs/>
        </w:rPr>
        <w:t>c</w:t>
      </w:r>
      <w:r w:rsidRPr="00D36516">
        <w:rPr>
          <w:bCs/>
        </w:rPr>
        <w:t xml:space="preserve">overing the GLA Business, but </w:t>
      </w:r>
      <w:r>
        <w:rPr>
          <w:bCs/>
        </w:rPr>
        <w:t>e</w:t>
      </w:r>
      <w:r w:rsidRPr="00D36516">
        <w:rPr>
          <w:bCs/>
        </w:rPr>
        <w:t xml:space="preserve">xcluding any reinsurance </w:t>
      </w:r>
      <w:r w:rsidR="00080EAE">
        <w:rPr>
          <w:bCs/>
        </w:rPr>
        <w:tab/>
      </w:r>
      <w:r w:rsidRPr="00D36516">
        <w:rPr>
          <w:bCs/>
        </w:rPr>
        <w:t xml:space="preserve">cover provided by any </w:t>
      </w:r>
      <w:r w:rsidR="004354CB">
        <w:rPr>
          <w:bCs/>
        </w:rPr>
        <w:t>Transferor</w:t>
      </w:r>
      <w:r w:rsidRPr="00D36516">
        <w:rPr>
          <w:bCs/>
        </w:rPr>
        <w:t xml:space="preserve"> </w:t>
      </w:r>
      <w:r w:rsidR="002A7763">
        <w:rPr>
          <w:bCs/>
        </w:rPr>
        <w:t>Intra-</w:t>
      </w:r>
      <w:r w:rsidR="00C71D2F">
        <w:rPr>
          <w:bCs/>
        </w:rPr>
        <w:t>G</w:t>
      </w:r>
      <w:r w:rsidRPr="00D36516">
        <w:rPr>
          <w:bCs/>
        </w:rPr>
        <w:t xml:space="preserve">roup </w:t>
      </w:r>
      <w:r w:rsidR="002A7763">
        <w:rPr>
          <w:bCs/>
        </w:rPr>
        <w:t>Reinsurance</w:t>
      </w:r>
      <w:r w:rsidRPr="00D36516">
        <w:rPr>
          <w:bCs/>
        </w:rPr>
        <w:t>.</w:t>
      </w:r>
    </w:p>
    <w:p w:rsidR="00D36516" w:rsidP="00D36516">
      <w:pPr>
        <w:pStyle w:val="BodyText2"/>
        <w:rPr>
          <w:color w:val="auto"/>
          <w:shd w:val="clear" w:color="auto" w:fill="auto"/>
        </w:rPr>
      </w:pPr>
      <w:r w:rsidRPr="00D36516">
        <w:rPr>
          <w:b/>
          <w:bCs/>
        </w:rPr>
        <w:t>Transferring Records</w:t>
      </w:r>
      <w:r>
        <w:t xml:space="preserve"> means</w:t>
      </w:r>
      <w:r w:rsidR="00783A5D">
        <w:t xml:space="preserve"> the following documents in the possession or control of GLA (including documents within the </w:t>
      </w:r>
      <w:r w:rsidR="00783A5D">
        <w:t>MGAs</w:t>
      </w:r>
      <w:r w:rsidR="00783A5D">
        <w:t>' possession that are within the control of GLA) at the Transfer Time</w:t>
      </w:r>
      <w:r>
        <w:t xml:space="preserve">: </w:t>
      </w:r>
    </w:p>
    <w:p w:rsidR="00D36516" w:rsidP="00D36516">
      <w:pPr>
        <w:pStyle w:val="Heading3"/>
        <w:numPr>
          <w:ilvl w:val="2"/>
          <w:numId w:val="46"/>
        </w:numPr>
        <w:rPr>
          <w:color w:val="auto"/>
          <w:shd w:val="clear" w:color="auto" w:fill="auto"/>
        </w:rPr>
      </w:pPr>
      <w:r>
        <w:t>the</w:t>
      </w:r>
      <w:r w:rsidR="00783A5D">
        <w:t xml:space="preserve"> archived</w:t>
      </w:r>
      <w:r>
        <w:t xml:space="preserve"> hard copy files contained on disks in relation to the Transferring Policies</w:t>
      </w:r>
      <w:r w:rsidR="0039584A">
        <w:t xml:space="preserve"> </w:t>
      </w:r>
      <w:r w:rsidR="000B5C48">
        <w:t xml:space="preserve">or </w:t>
      </w:r>
      <w:r w:rsidR="000B5C48">
        <w:t>MGA</w:t>
      </w:r>
      <w:r w:rsidR="000B5C48">
        <w:t xml:space="preserve"> Agreements</w:t>
      </w:r>
      <w:r>
        <w:t xml:space="preserve">; </w:t>
      </w:r>
    </w:p>
    <w:p w:rsidR="00D36516" w:rsidP="00D36516">
      <w:pPr>
        <w:pStyle w:val="Heading3"/>
        <w:rPr>
          <w:color w:val="auto"/>
          <w:shd w:val="clear" w:color="auto" w:fill="auto"/>
        </w:rPr>
      </w:pPr>
      <w:r w:rsidRPr="00470B13">
        <w:t>the working paper files relating to open claims arising under the Transferring Policies</w:t>
      </w:r>
      <w:r w:rsidR="000B5C48">
        <w:t xml:space="preserve"> or </w:t>
      </w:r>
      <w:r w:rsidR="000B5C48">
        <w:t>MGA</w:t>
      </w:r>
      <w:r w:rsidR="000B5C48">
        <w:t xml:space="preserve"> Agreements</w:t>
      </w:r>
      <w:r>
        <w:t xml:space="preserve">; and </w:t>
      </w:r>
    </w:p>
    <w:p w:rsidR="00D36516" w:rsidP="00D36516">
      <w:pPr>
        <w:pStyle w:val="Heading3"/>
        <w:rPr>
          <w:color w:val="auto"/>
          <w:shd w:val="clear" w:color="auto" w:fill="auto"/>
        </w:rPr>
      </w:pPr>
      <w:r>
        <w:t>the electronic records relating to the Transferring Assets and Transferring Liabilities.</w:t>
      </w:r>
    </w:p>
    <w:p w:rsidR="00BB63F8" w:rsidP="00BB63F8">
      <w:pPr>
        <w:pStyle w:val="Heading3"/>
        <w:numPr>
          <w:ilvl w:val="0"/>
          <w:numId w:val="0"/>
        </w:numPr>
        <w:ind w:left="1418"/>
        <w:rPr>
          <w:color w:val="auto"/>
          <w:shd w:val="clear" w:color="auto" w:fill="auto"/>
        </w:rPr>
      </w:pPr>
    </w:p>
    <w:p w:rsidR="00236225">
      <w:pPr>
        <w:pStyle w:val="Heading2"/>
        <w:rPr>
          <w:b/>
          <w:color w:val="auto"/>
          <w:shd w:val="clear" w:color="auto" w:fill="auto"/>
        </w:rPr>
      </w:pPr>
      <w:r>
        <w:rPr>
          <w:b/>
        </w:rPr>
        <w:t>Interpretation</w:t>
      </w:r>
    </w:p>
    <w:p w:rsidR="00236225">
      <w:pPr>
        <w:pStyle w:val="Heading3"/>
        <w:keepNext/>
        <w:rPr>
          <w:color w:val="auto"/>
          <w:shd w:val="clear" w:color="auto" w:fill="auto"/>
        </w:rPr>
      </w:pPr>
      <w:bookmarkStart w:id="2" w:name="_Toc166388915"/>
      <w:bookmarkStart w:id="3" w:name="_Toc166389134"/>
      <w:r>
        <w:t>Reference to:</w:t>
      </w:r>
      <w:bookmarkEnd w:id="2"/>
      <w:bookmarkEnd w:id="3"/>
    </w:p>
    <w:p w:rsidR="00236225">
      <w:pPr>
        <w:pStyle w:val="Heading4"/>
        <w:rPr>
          <w:color w:val="auto"/>
          <w:shd w:val="clear" w:color="auto" w:fill="auto"/>
        </w:rPr>
      </w:pPr>
      <w:bookmarkStart w:id="4" w:name="_Toc166388916"/>
      <w:bookmarkStart w:id="5" w:name="_Toc166389135"/>
      <w:r>
        <w:t>one gender includes the others;</w:t>
      </w:r>
      <w:bookmarkEnd w:id="4"/>
      <w:bookmarkEnd w:id="5"/>
    </w:p>
    <w:p w:rsidR="00236225">
      <w:pPr>
        <w:pStyle w:val="Heading4"/>
        <w:rPr>
          <w:color w:val="auto"/>
          <w:shd w:val="clear" w:color="auto" w:fill="auto"/>
        </w:rPr>
      </w:pPr>
      <w:bookmarkStart w:id="6" w:name="_Ref460208078"/>
      <w:bookmarkStart w:id="7" w:name="_Toc166388917"/>
      <w:bookmarkStart w:id="8" w:name="_Toc166389136"/>
      <w:r>
        <w:t>the singular includes the plural and the plural includes the singular;</w:t>
      </w:r>
      <w:bookmarkEnd w:id="6"/>
      <w:bookmarkEnd w:id="7"/>
      <w:bookmarkEnd w:id="8"/>
    </w:p>
    <w:p w:rsidR="00236225">
      <w:pPr>
        <w:pStyle w:val="Heading4"/>
        <w:rPr>
          <w:color w:val="auto"/>
          <w:shd w:val="clear" w:color="auto" w:fill="auto"/>
        </w:rPr>
      </w:pPr>
      <w:bookmarkStart w:id="9" w:name="_Ref460208226"/>
      <w:bookmarkStart w:id="10" w:name="_Toc166388918"/>
      <w:bookmarkStart w:id="11" w:name="_Toc166389137"/>
      <w:r>
        <w:t>a person includes a body corporate;</w:t>
      </w:r>
      <w:bookmarkEnd w:id="9"/>
      <w:bookmarkEnd w:id="10"/>
      <w:bookmarkEnd w:id="11"/>
    </w:p>
    <w:p w:rsidR="00236225">
      <w:pPr>
        <w:pStyle w:val="Heading4"/>
        <w:rPr>
          <w:color w:val="auto"/>
          <w:shd w:val="clear" w:color="auto" w:fill="auto"/>
        </w:rPr>
      </w:pPr>
      <w:bookmarkStart w:id="12" w:name="_Toc166388919"/>
      <w:bookmarkStart w:id="13" w:name="_Toc166389138"/>
      <w:r>
        <w:t>a party includes the party’s executors, administrators, successors and permitted assigns;</w:t>
      </w:r>
      <w:bookmarkEnd w:id="12"/>
      <w:bookmarkEnd w:id="13"/>
    </w:p>
    <w:p w:rsidR="00236225">
      <w:pPr>
        <w:pStyle w:val="Heading4"/>
        <w:rPr>
          <w:color w:val="auto"/>
          <w:shd w:val="clear" w:color="auto" w:fill="auto"/>
        </w:rPr>
      </w:pPr>
      <w:bookmarkStart w:id="14" w:name="_Ref184555989"/>
      <w:r>
        <w:t>a thing includes the whole and each part of it separately;</w:t>
      </w:r>
      <w:bookmarkEnd w:id="14"/>
    </w:p>
    <w:p w:rsidR="00236225">
      <w:pPr>
        <w:pStyle w:val="Heading4"/>
        <w:rPr>
          <w:color w:val="auto"/>
          <w:shd w:val="clear" w:color="auto" w:fill="auto"/>
        </w:rPr>
      </w:pPr>
      <w:bookmarkStart w:id="15" w:name="_Ref127095511"/>
      <w:bookmarkStart w:id="16" w:name="_Toc166388920"/>
      <w:bookmarkStart w:id="17" w:name="_Toc166389139"/>
      <w:r>
        <w:t>a statute, regulation, code or other law or a provision of any of them includes:</w:t>
      </w:r>
      <w:bookmarkEnd w:id="15"/>
      <w:bookmarkEnd w:id="16"/>
      <w:bookmarkEnd w:id="17"/>
    </w:p>
    <w:p w:rsidR="00236225">
      <w:pPr>
        <w:pStyle w:val="Heading5"/>
        <w:rPr>
          <w:color w:val="auto"/>
          <w:shd w:val="clear" w:color="auto" w:fill="auto"/>
        </w:rPr>
      </w:pPr>
      <w:bookmarkStart w:id="18" w:name="_Toc166388921"/>
      <w:bookmarkStart w:id="19" w:name="_Toc166389140"/>
      <w:r>
        <w:t>any amendment or replacement of it; and</w:t>
      </w:r>
      <w:bookmarkEnd w:id="18"/>
      <w:bookmarkEnd w:id="19"/>
    </w:p>
    <w:p w:rsidR="00236225">
      <w:pPr>
        <w:pStyle w:val="Heading5"/>
        <w:rPr>
          <w:color w:val="auto"/>
          <w:shd w:val="clear" w:color="auto" w:fill="auto"/>
        </w:rPr>
      </w:pPr>
      <w:bookmarkStart w:id="20" w:name="_Toc166388922"/>
      <w:bookmarkStart w:id="21" w:name="_Toc166389141"/>
      <w:r>
        <w:t>another regulation or other statutory instrument made under it, or made under it as amended or replaced;</w:t>
      </w:r>
      <w:bookmarkEnd w:id="20"/>
      <w:bookmarkEnd w:id="21"/>
    </w:p>
    <w:p w:rsidR="00236225">
      <w:pPr>
        <w:pStyle w:val="Heading4"/>
        <w:rPr>
          <w:color w:val="auto"/>
          <w:shd w:val="clear" w:color="auto" w:fill="auto"/>
        </w:rPr>
      </w:pPr>
      <w:bookmarkStart w:id="22" w:name="_Ref138844176"/>
      <w:bookmarkStart w:id="23" w:name="_Toc166388923"/>
      <w:bookmarkStart w:id="24" w:name="_Toc166389142"/>
      <w:r>
        <w:t>dollars means Australian dollars unless otherwise stated;</w:t>
      </w:r>
      <w:bookmarkEnd w:id="22"/>
      <w:bookmarkEnd w:id="23"/>
      <w:bookmarkEnd w:id="24"/>
    </w:p>
    <w:p w:rsidR="00236225">
      <w:pPr>
        <w:pStyle w:val="Heading4"/>
        <w:rPr>
          <w:color w:val="auto"/>
          <w:shd w:val="clear" w:color="auto" w:fill="auto"/>
        </w:rPr>
      </w:pPr>
      <w:r>
        <w:t>costs includes charges, expenses and legal costs;</w:t>
      </w:r>
    </w:p>
    <w:p w:rsidR="00236225">
      <w:pPr>
        <w:pStyle w:val="Heading4"/>
        <w:rPr>
          <w:color w:val="auto"/>
          <w:shd w:val="clear" w:color="auto" w:fill="auto"/>
        </w:rPr>
      </w:pPr>
      <w:r>
        <w:t>any contract or other instrument includes any variation or replacement of it;</w:t>
      </w:r>
    </w:p>
    <w:p w:rsidR="00236225">
      <w:pPr>
        <w:pStyle w:val="Heading4"/>
        <w:rPr>
          <w:color w:val="auto"/>
          <w:shd w:val="clear" w:color="auto" w:fill="auto"/>
        </w:rPr>
      </w:pPr>
      <w:r>
        <w:t>a group of persons is a reference to any 2</w:t>
      </w:r>
      <w:r w:rsidR="00DC7001">
        <w:t xml:space="preserve"> </w:t>
      </w:r>
      <w:r>
        <w:t>or more of them taken together and to each of them individually;</w:t>
      </w:r>
    </w:p>
    <w:p w:rsidR="00236225">
      <w:pPr>
        <w:pStyle w:val="Heading4"/>
        <w:rPr>
          <w:color w:val="auto"/>
          <w:shd w:val="clear" w:color="auto" w:fill="auto"/>
        </w:rPr>
      </w:pPr>
      <w:r>
        <w:t>a body which has been reconstituted or merged must be taken to be the body as reconstituted or merged;</w:t>
      </w:r>
    </w:p>
    <w:p w:rsidR="00236225">
      <w:pPr>
        <w:pStyle w:val="Heading4"/>
        <w:rPr>
          <w:color w:val="auto"/>
          <w:shd w:val="clear" w:color="auto" w:fill="auto"/>
        </w:rPr>
      </w:pPr>
      <w:r>
        <w:t>a body which has ceased to exist and the functions of which have been substantially taken over by another body must be taken to be that other body;</w:t>
      </w:r>
      <w:r w:rsidR="00BB63F8">
        <w:t xml:space="preserve"> and</w:t>
      </w:r>
    </w:p>
    <w:p w:rsidR="00236225">
      <w:pPr>
        <w:pStyle w:val="Heading4"/>
        <w:rPr>
          <w:color w:val="auto"/>
          <w:shd w:val="clear" w:color="auto" w:fill="auto"/>
        </w:rPr>
      </w:pPr>
      <w:bookmarkStart w:id="25" w:name="_Ref264872616"/>
      <w:r>
        <w:t>a day or a month means a calendar day or calendar month.</w:t>
      </w:r>
      <w:bookmarkEnd w:id="25"/>
    </w:p>
    <w:p w:rsidR="00236225">
      <w:pPr>
        <w:pStyle w:val="Heading3"/>
        <w:rPr>
          <w:color w:val="auto"/>
          <w:shd w:val="clear" w:color="auto" w:fill="auto"/>
        </w:rPr>
      </w:pPr>
      <w:bookmarkStart w:id="26" w:name="_Toc166388924"/>
      <w:bookmarkStart w:id="27" w:name="_Toc166389143"/>
      <w:r>
        <w:t>“Including” and similar expressions are not words of limitation.</w:t>
      </w:r>
      <w:bookmarkEnd w:id="26"/>
      <w:bookmarkEnd w:id="27"/>
    </w:p>
    <w:p w:rsidR="00236225">
      <w:pPr>
        <w:pStyle w:val="Heading3"/>
        <w:rPr>
          <w:color w:val="auto"/>
          <w:shd w:val="clear" w:color="auto" w:fill="auto"/>
        </w:rPr>
      </w:pPr>
      <w:bookmarkStart w:id="28" w:name="_Toc166388925"/>
      <w:bookmarkStart w:id="29" w:name="_Toc166389144"/>
      <w:r>
        <w:t>Where a word or expression is given a particular meaning, other parts of speech and grammatical forms of that word or expression have a corresponding meaning.</w:t>
      </w:r>
      <w:bookmarkEnd w:id="28"/>
      <w:bookmarkEnd w:id="29"/>
    </w:p>
    <w:p w:rsidR="00236225">
      <w:pPr>
        <w:pStyle w:val="Heading3"/>
        <w:rPr>
          <w:color w:val="auto"/>
          <w:shd w:val="clear" w:color="auto" w:fill="auto"/>
        </w:rPr>
      </w:pPr>
      <w:bookmarkStart w:id="30" w:name="_Toc166388926"/>
      <w:bookmarkStart w:id="31" w:name="_Toc166389145"/>
      <w:r>
        <w:t>Headings and any table of contents or index are for convenience only and do not form part of this Scheme or affect its interpretation.</w:t>
      </w:r>
      <w:bookmarkEnd w:id="30"/>
      <w:bookmarkEnd w:id="31"/>
    </w:p>
    <w:p w:rsidR="00236225">
      <w:pPr>
        <w:pStyle w:val="Heading3"/>
        <w:rPr>
          <w:color w:val="auto"/>
          <w:shd w:val="clear" w:color="auto" w:fill="auto"/>
        </w:rPr>
      </w:pPr>
      <w:bookmarkStart w:id="32" w:name="_Ref333413751"/>
      <w:r>
        <w:t>Where time is to be calculated by reference to a day or event, that day or the day of that event is excluded.</w:t>
      </w:r>
      <w:bookmarkEnd w:id="32"/>
      <w:r>
        <w:t xml:space="preserve">  </w:t>
      </w:r>
    </w:p>
    <w:p w:rsidR="00236225">
      <w:pPr>
        <w:pStyle w:val="Heading1"/>
        <w:rPr>
          <w:color w:val="auto"/>
          <w:shd w:val="clear" w:color="auto" w:fill="auto"/>
        </w:rPr>
      </w:pPr>
      <w:r>
        <w:t xml:space="preserve">Transfer of </w:t>
      </w:r>
      <w:r w:rsidR="00A12BEE">
        <w:t xml:space="preserve">GLA </w:t>
      </w:r>
      <w:r>
        <w:t>Business</w:t>
      </w:r>
    </w:p>
    <w:p w:rsidR="00473F7A" w:rsidP="00F80D2B">
      <w:pPr>
        <w:pStyle w:val="Heading2"/>
        <w:rPr>
          <w:b/>
          <w:color w:val="auto"/>
          <w:shd w:val="clear" w:color="auto" w:fill="auto"/>
        </w:rPr>
      </w:pPr>
      <w:r>
        <w:t>GLA</w:t>
      </w:r>
      <w:r>
        <w:t xml:space="preserve">’s and </w:t>
      </w:r>
      <w:r>
        <w:t>Gordian</w:t>
      </w:r>
      <w:r>
        <w:t xml:space="preserve">’s obligations under the </w:t>
      </w:r>
      <w:r w:rsidR="00F80D2B">
        <w:t>Framework and Transfer Deed</w:t>
      </w:r>
      <w:r>
        <w:t xml:space="preserve"> are conditional on:</w:t>
      </w:r>
    </w:p>
    <w:p w:rsidR="00F80D2B" w:rsidP="00F80D2B">
      <w:pPr>
        <w:pStyle w:val="Heading3"/>
        <w:rPr>
          <w:color w:val="auto"/>
          <w:shd w:val="clear" w:color="auto" w:fill="auto"/>
        </w:rPr>
      </w:pPr>
      <w:r>
        <w:t xml:space="preserve">the Treasurer (or </w:t>
      </w:r>
      <w:r w:rsidR="00A12BEE">
        <w:t xml:space="preserve">APRA as </w:t>
      </w:r>
      <w:r>
        <w:t>the Treasurer’s delegate) pr</w:t>
      </w:r>
      <w:r w:rsidR="00A12BEE">
        <w:t xml:space="preserve">oviding all necessary approvals, </w:t>
      </w:r>
      <w:r>
        <w:t xml:space="preserve">consents </w:t>
      </w:r>
      <w:r w:rsidR="00A12BEE">
        <w:t xml:space="preserve">or non-objections </w:t>
      </w:r>
      <w:r>
        <w:t xml:space="preserve">required under the </w:t>
      </w:r>
      <w:r>
        <w:rPr>
          <w:i/>
        </w:rPr>
        <w:t>Insurance Acquisitions and Takeovers Act 1991</w:t>
      </w:r>
      <w:r>
        <w:t xml:space="preserve"> (</w:t>
      </w:r>
      <w:r>
        <w:t>Cth</w:t>
      </w:r>
      <w:r>
        <w:t xml:space="preserve">) </w:t>
      </w:r>
      <w:r>
        <w:t>on terms satisfactory to Gordian, acting reasonably</w:t>
      </w:r>
      <w:r>
        <w:t xml:space="preserve">; </w:t>
      </w:r>
      <w:r w:rsidR="00A12BEE">
        <w:t>and</w:t>
      </w:r>
    </w:p>
    <w:p w:rsidR="00473F7A" w:rsidP="00473F7A">
      <w:pPr>
        <w:pStyle w:val="Heading3"/>
        <w:rPr>
          <w:color w:val="auto"/>
          <w:shd w:val="clear" w:color="auto" w:fill="auto"/>
        </w:rPr>
      </w:pPr>
      <w:r>
        <w:t>the Court providing the Court Confirmation.</w:t>
      </w:r>
    </w:p>
    <w:p w:rsidR="00236225" w:rsidRPr="00A12BEE" w:rsidP="00A12BEE">
      <w:pPr>
        <w:pStyle w:val="Heading2"/>
        <w:rPr>
          <w:color w:val="auto"/>
          <w:shd w:val="clear" w:color="auto" w:fill="auto"/>
        </w:rPr>
      </w:pPr>
      <w:r w:rsidRPr="00A12BEE">
        <w:t xml:space="preserve">In accordance with the terms of the </w:t>
      </w:r>
      <w:r w:rsidR="00DC7001">
        <w:t>Court Confirmation</w:t>
      </w:r>
      <w:r w:rsidRPr="00A12BEE">
        <w:t xml:space="preserve">, the </w:t>
      </w:r>
      <w:r w:rsidRPr="00A12BEE" w:rsidR="00CA288B">
        <w:t xml:space="preserve">Transferring Assets </w:t>
      </w:r>
      <w:r w:rsidRPr="00A12BEE">
        <w:t xml:space="preserve">and the </w:t>
      </w:r>
      <w:r w:rsidRPr="00A12BEE" w:rsidR="00A12BEE">
        <w:t>Transferring Liabilities</w:t>
      </w:r>
      <w:r w:rsidR="00D36E12">
        <w:t xml:space="preserve"> will </w:t>
      </w:r>
      <w:r w:rsidR="007377C3">
        <w:t>transfer</w:t>
      </w:r>
      <w:r w:rsidR="00D36E12">
        <w:t xml:space="preserve"> from GLA to Gordian</w:t>
      </w:r>
      <w:r w:rsidR="007377C3">
        <w:t xml:space="preserve"> by way of a statutory vesting</w:t>
      </w:r>
      <w:r w:rsidRPr="00A12BEE" w:rsidR="00A12BEE">
        <w:t xml:space="preserve"> insofar as they are comprised with</w:t>
      </w:r>
      <w:r w:rsidR="00A12BEE">
        <w:t>in</w:t>
      </w:r>
      <w:r w:rsidRPr="00A12BEE" w:rsidR="00A12BEE">
        <w:t xml:space="preserve"> the GLA Business </w:t>
      </w:r>
      <w:r w:rsidRPr="00A12BEE">
        <w:t xml:space="preserve">with effect on and from the </w:t>
      </w:r>
      <w:r w:rsidRPr="00A12BEE" w:rsidR="00CA288B">
        <w:t>Transfer Time</w:t>
      </w:r>
      <w:r w:rsidRPr="00A12BEE">
        <w:t xml:space="preserve">. </w:t>
      </w:r>
    </w:p>
    <w:p w:rsidR="00236225">
      <w:pPr>
        <w:pStyle w:val="Heading1"/>
        <w:rPr>
          <w:color w:val="auto"/>
          <w:shd w:val="clear" w:color="auto" w:fill="auto"/>
        </w:rPr>
      </w:pPr>
      <w:r>
        <w:t xml:space="preserve">Consideration for the transfer of </w:t>
      </w:r>
      <w:r w:rsidR="00A12BEE">
        <w:t xml:space="preserve">GLA </w:t>
      </w:r>
      <w:r>
        <w:t>Business</w:t>
      </w:r>
    </w:p>
    <w:p w:rsidR="00A12BEE" w:rsidP="00A12BEE">
      <w:pPr>
        <w:pStyle w:val="Heading3"/>
        <w:numPr>
          <w:ilvl w:val="0"/>
          <w:numId w:val="0"/>
        </w:numPr>
        <w:ind w:left="709"/>
        <w:rPr>
          <w:color w:val="auto"/>
          <w:shd w:val="clear" w:color="auto" w:fill="auto"/>
        </w:rPr>
      </w:pPr>
      <w:r>
        <w:t xml:space="preserve">In </w:t>
      </w:r>
      <w:r>
        <w:t xml:space="preserve">consideration for the transfer of the Transferring Assets and </w:t>
      </w:r>
      <w:r w:rsidR="00C71D2F">
        <w:t>the Transferring Liabilities</w:t>
      </w:r>
      <w:r w:rsidR="00D36E12">
        <w:t xml:space="preserve"> from GLA to Gordian</w:t>
      </w:r>
      <w:r w:rsidR="003A1E6A">
        <w:t xml:space="preserve"> pursuant to the Scheme</w:t>
      </w:r>
      <w:r w:rsidR="00D36E12">
        <w:t>,</w:t>
      </w:r>
      <w:r w:rsidR="00C71D2F">
        <w:t xml:space="preserve"> GLA </w:t>
      </w:r>
      <w:r w:rsidR="00D36E12">
        <w:t xml:space="preserve">will </w:t>
      </w:r>
      <w:r>
        <w:t xml:space="preserve">pay to </w:t>
      </w:r>
      <w:r w:rsidR="00C71D2F">
        <w:t xml:space="preserve">Gordian that proportion of the </w:t>
      </w:r>
      <w:r>
        <w:t xml:space="preserve">Adjusted Price </w:t>
      </w:r>
      <w:r w:rsidR="00C71D2F">
        <w:t xml:space="preserve">as relates to the </w:t>
      </w:r>
      <w:r w:rsidR="003A1E6A">
        <w:t xml:space="preserve">transfer of the </w:t>
      </w:r>
      <w:r w:rsidR="00C71D2F">
        <w:t xml:space="preserve">GLA Business </w:t>
      </w:r>
      <w:r>
        <w:t>at the Transfer Time</w:t>
      </w:r>
      <w:r w:rsidRPr="00EB5C36" w:rsidR="00EB5C36">
        <w:t xml:space="preserve"> </w:t>
      </w:r>
      <w:r w:rsidR="00EB5C36">
        <w:t>in accordance with the terms of the Framework and Transfer Deed</w:t>
      </w:r>
      <w:r w:rsidR="00C71D2F">
        <w:t>.</w:t>
      </w:r>
    </w:p>
    <w:p w:rsidR="00236225">
      <w:pPr>
        <w:pStyle w:val="Heading1"/>
        <w:rPr>
          <w:color w:val="auto"/>
          <w:shd w:val="clear" w:color="auto" w:fill="auto"/>
        </w:rPr>
      </w:pPr>
      <w:r>
        <w:t>Proceedings</w:t>
      </w:r>
    </w:p>
    <w:p w:rsidR="00236225" w:rsidP="005308B2">
      <w:pPr>
        <w:pStyle w:val="Heading2"/>
        <w:numPr>
          <w:ilvl w:val="0"/>
          <w:numId w:val="0"/>
        </w:numPr>
        <w:ind w:left="709"/>
        <w:rPr>
          <w:color w:val="auto"/>
          <w:shd w:val="clear" w:color="auto" w:fill="auto"/>
        </w:rPr>
      </w:pPr>
      <w:r>
        <w:t>For the avoidance of doubt, i</w:t>
      </w:r>
      <w:r w:rsidR="002F25E9">
        <w:t xml:space="preserve">f any proceedings are pending or any proceedings are brought on or after the </w:t>
      </w:r>
      <w:r w:rsidR="009A188E">
        <w:t>Transfer Time</w:t>
      </w:r>
      <w:r w:rsidR="002F25E9">
        <w:t xml:space="preserve"> by or against </w:t>
      </w:r>
      <w:r w:rsidR="00D00C49">
        <w:t>GLA</w:t>
      </w:r>
      <w:r w:rsidR="002F25E9">
        <w:t xml:space="preserve"> in any court or tribunal in respect of the </w:t>
      </w:r>
      <w:r w:rsidR="009A188E">
        <w:t>Transferring Policies or</w:t>
      </w:r>
      <w:r w:rsidR="002F25E9">
        <w:t xml:space="preserve"> the </w:t>
      </w:r>
      <w:r w:rsidR="009A188E">
        <w:t>Transferring Liabilities</w:t>
      </w:r>
      <w:r w:rsidR="002F25E9">
        <w:t xml:space="preserve">, such proceeding will be continued by or against </w:t>
      </w:r>
      <w:r w:rsidR="00D00C49">
        <w:t>Gordian</w:t>
      </w:r>
      <w:r w:rsidR="002F25E9">
        <w:t xml:space="preserve"> and any judgment or determination for or against </w:t>
      </w:r>
      <w:r w:rsidR="00D00C49">
        <w:t>GLA</w:t>
      </w:r>
      <w:r w:rsidR="002F25E9">
        <w:t xml:space="preserve"> in any such proceedings will have effect as between </w:t>
      </w:r>
      <w:r w:rsidR="00D00C49">
        <w:t>GLA</w:t>
      </w:r>
      <w:r w:rsidR="002F25E9">
        <w:t xml:space="preserve"> and </w:t>
      </w:r>
      <w:r w:rsidR="00D00C49">
        <w:t>Gordian</w:t>
      </w:r>
      <w:r w:rsidR="002F25E9">
        <w:t xml:space="preserve"> as if such judgment or determination had been made for or against </w:t>
      </w:r>
      <w:r w:rsidR="00D00C49">
        <w:t>Gordian</w:t>
      </w:r>
      <w:r w:rsidR="002F25E9">
        <w:t>.</w:t>
      </w:r>
    </w:p>
    <w:p w:rsidR="00236225">
      <w:pPr>
        <w:pStyle w:val="Heading1"/>
        <w:rPr>
          <w:color w:val="auto"/>
          <w:shd w:val="clear" w:color="auto" w:fill="auto"/>
        </w:rPr>
      </w:pPr>
      <w:r>
        <w:t>Transfer Time</w:t>
      </w:r>
    </w:p>
    <w:p w:rsidR="00236225" w:rsidP="00C71D2F">
      <w:pPr>
        <w:pStyle w:val="Heading2"/>
        <w:numPr>
          <w:ilvl w:val="0"/>
          <w:numId w:val="0"/>
        </w:numPr>
        <w:ind w:left="709"/>
        <w:rPr>
          <w:color w:val="auto"/>
          <w:shd w:val="clear" w:color="auto" w:fill="auto"/>
        </w:rPr>
      </w:pPr>
      <w:r>
        <w:t xml:space="preserve">The transfer of the </w:t>
      </w:r>
      <w:r w:rsidR="009A188E">
        <w:t>GLA Business</w:t>
      </w:r>
      <w:r>
        <w:t xml:space="preserve"> from </w:t>
      </w:r>
      <w:r w:rsidR="00D00C49">
        <w:t>GLA</w:t>
      </w:r>
      <w:r>
        <w:t xml:space="preserve"> to </w:t>
      </w:r>
      <w:r w:rsidR="00D00C49">
        <w:t>Gordian</w:t>
      </w:r>
      <w:r>
        <w:t xml:space="preserve"> pursuant to </w:t>
      </w:r>
      <w:r w:rsidR="007377C3">
        <w:t xml:space="preserve">Scheme </w:t>
      </w:r>
      <w:r>
        <w:t xml:space="preserve">and the transfer of the </w:t>
      </w:r>
      <w:r w:rsidR="009A188E">
        <w:t xml:space="preserve">Transferring </w:t>
      </w:r>
      <w:r w:rsidR="003A1E6A">
        <w:t>Assets</w:t>
      </w:r>
      <w:r>
        <w:t xml:space="preserve"> and </w:t>
      </w:r>
      <w:r w:rsidR="009A188E">
        <w:t>Transferring Liabilities</w:t>
      </w:r>
      <w:r>
        <w:t xml:space="preserve"> </w:t>
      </w:r>
      <w:r w:rsidR="00D36E12">
        <w:t>from</w:t>
      </w:r>
      <w:r>
        <w:t xml:space="preserve"> </w:t>
      </w:r>
      <w:r w:rsidR="00D00C49">
        <w:t>GLA</w:t>
      </w:r>
      <w:r>
        <w:t xml:space="preserve"> to </w:t>
      </w:r>
      <w:r w:rsidR="00D00C49">
        <w:t>Gordian</w:t>
      </w:r>
      <w:r>
        <w:t xml:space="preserve"> pursuant to this Scheme take effect on and from the </w:t>
      </w:r>
      <w:r w:rsidR="009A188E">
        <w:t>Transfer Time</w:t>
      </w:r>
      <w:r>
        <w:t>.</w:t>
      </w:r>
    </w:p>
    <w:p w:rsidR="00236225">
      <w:pPr>
        <w:pStyle w:val="Heading1"/>
        <w:rPr>
          <w:color w:val="auto"/>
          <w:shd w:val="clear" w:color="auto" w:fill="auto"/>
        </w:rPr>
      </w:pPr>
      <w:r>
        <w:t>Implementation</w:t>
      </w:r>
    </w:p>
    <w:p w:rsidR="00236225" w:rsidP="009A188E">
      <w:pPr>
        <w:pStyle w:val="Heading2"/>
        <w:rPr>
          <w:color w:val="auto"/>
          <w:shd w:val="clear" w:color="auto" w:fill="auto"/>
        </w:rPr>
      </w:pPr>
      <w:r>
        <w:t>GLA</w:t>
      </w:r>
      <w:r w:rsidR="002F25E9">
        <w:t xml:space="preserve"> and </w:t>
      </w:r>
      <w:r>
        <w:t>Gordian</w:t>
      </w:r>
      <w:r w:rsidR="002F25E9">
        <w:t xml:space="preserve"> will</w:t>
      </w:r>
      <w:r w:rsidR="00D36E12">
        <w:t xml:space="preserve"> each</w:t>
      </w:r>
      <w:r w:rsidR="002F25E9">
        <w:t xml:space="preserve"> do all such things and execute all such deeds, instruments, transfers or other documents as may be necessary or desirable to give full effect to the provisions of the </w:t>
      </w:r>
      <w:r w:rsidR="009A188E">
        <w:t>Framework and Transfer Deed</w:t>
      </w:r>
      <w:r w:rsidR="002F25E9">
        <w:t>, this Scheme, the Actuarial Report and the transactions contemplated by them.</w:t>
      </w:r>
    </w:p>
    <w:p w:rsidR="00236225">
      <w:pPr>
        <w:pStyle w:val="Heading1"/>
        <w:rPr>
          <w:color w:val="auto"/>
          <w:shd w:val="clear" w:color="auto" w:fill="auto"/>
        </w:rPr>
      </w:pPr>
      <w:r>
        <w:t>Costs of the Scheme</w:t>
      </w:r>
    </w:p>
    <w:p w:rsidR="00236225" w:rsidP="009A188E">
      <w:pPr>
        <w:pStyle w:val="Heading2"/>
        <w:rPr>
          <w:color w:val="auto"/>
          <w:shd w:val="clear" w:color="auto" w:fill="auto"/>
        </w:rPr>
      </w:pPr>
      <w:r>
        <w:t xml:space="preserve">Any stamp duty and other costs and expenses incurred in connection with the Scheme will not be paid by or charged to policyholders, but will be met by </w:t>
      </w:r>
      <w:r w:rsidR="00D00C49">
        <w:t>Gordian</w:t>
      </w:r>
      <w:r>
        <w:t xml:space="preserve"> </w:t>
      </w:r>
      <w:r w:rsidR="00C71D2F">
        <w:t xml:space="preserve">or GLA </w:t>
      </w:r>
      <w:r>
        <w:t xml:space="preserve">in accordance with the </w:t>
      </w:r>
      <w:r w:rsidR="009A188E">
        <w:t>Framework and Transfer Deed</w:t>
      </w:r>
      <w:r>
        <w:t>.</w:t>
      </w:r>
    </w:p>
    <w:p w:rsidR="00236225">
      <w:pPr>
        <w:pStyle w:val="Heading1"/>
        <w:rPr>
          <w:color w:val="auto"/>
          <w:shd w:val="clear" w:color="auto" w:fill="auto"/>
        </w:rPr>
      </w:pPr>
      <w:r>
        <w:t xml:space="preserve">Consequences of the transfer of </w:t>
      </w:r>
      <w:r w:rsidR="00C71D2F">
        <w:t xml:space="preserve">the GLA </w:t>
      </w:r>
      <w:r>
        <w:t xml:space="preserve">Business </w:t>
      </w:r>
    </w:p>
    <w:p w:rsidR="00236225" w:rsidP="009A188E">
      <w:pPr>
        <w:pStyle w:val="Heading2"/>
        <w:rPr>
          <w:color w:val="auto"/>
          <w:shd w:val="clear" w:color="auto" w:fill="auto"/>
        </w:rPr>
      </w:pPr>
      <w:r>
        <w:t xml:space="preserve">With effect on and from the </w:t>
      </w:r>
      <w:r w:rsidR="009A188E">
        <w:t>Transfer Time</w:t>
      </w:r>
      <w:r>
        <w:t>:</w:t>
      </w:r>
    </w:p>
    <w:p w:rsidR="00783A5D" w:rsidP="009A188E">
      <w:pPr>
        <w:pStyle w:val="Heading3"/>
        <w:rPr>
          <w:color w:val="auto"/>
          <w:shd w:val="clear" w:color="auto" w:fill="auto"/>
        </w:rPr>
      </w:pPr>
      <w:r>
        <w:t>t</w:t>
      </w:r>
      <w:r>
        <w:t>he Transferee will be substituted for the Transferor in all Transferring Contracts as if the Transferee was, and at times had been, a party in place of the Transferor under the Transferring Contracts.</w:t>
      </w:r>
    </w:p>
    <w:p w:rsidR="00236225" w:rsidP="009A188E">
      <w:pPr>
        <w:pStyle w:val="Heading3"/>
        <w:rPr>
          <w:color w:val="auto"/>
          <w:shd w:val="clear" w:color="auto" w:fill="auto"/>
        </w:rPr>
      </w:pPr>
      <w:r>
        <w:t xml:space="preserve">the rights, benefits and liabilities of policyholders under the </w:t>
      </w:r>
      <w:r w:rsidR="009A188E">
        <w:t>Transferring Policies</w:t>
      </w:r>
      <w:r>
        <w:t>, and of all persons claiming through or under them</w:t>
      </w:r>
      <w:r w:rsidR="00EA2975">
        <w:t xml:space="preserve"> </w:t>
      </w:r>
      <w:r>
        <w:t xml:space="preserve">will be the same in all respects as they would have been if the </w:t>
      </w:r>
      <w:r w:rsidR="009A188E">
        <w:t>Transferring Policies</w:t>
      </w:r>
      <w:r>
        <w:t xml:space="preserve"> had been issued or entered into by </w:t>
      </w:r>
      <w:r w:rsidR="00D00C49">
        <w:t>Gordian</w:t>
      </w:r>
      <w:r w:rsidR="00995441">
        <w:t xml:space="preserve"> </w:t>
      </w:r>
      <w:r>
        <w:t xml:space="preserve">instead of </w:t>
      </w:r>
      <w:r w:rsidR="00D00C49">
        <w:t>GLA</w:t>
      </w:r>
      <w:r>
        <w:t>.</w:t>
      </w:r>
    </w:p>
    <w:p w:rsidR="00236225" w:rsidP="009A188E">
      <w:pPr>
        <w:pStyle w:val="Heading3"/>
        <w:rPr>
          <w:color w:val="auto"/>
          <w:shd w:val="clear" w:color="auto" w:fill="auto"/>
        </w:rPr>
      </w:pPr>
      <w:r>
        <w:t>a</w:t>
      </w:r>
      <w:r w:rsidR="002F25E9">
        <w:t xml:space="preserve">ll proposals, applications, declarations and representations made to </w:t>
      </w:r>
      <w:r w:rsidR="00D00C49">
        <w:t>GLA</w:t>
      </w:r>
      <w:r w:rsidR="002F25E9">
        <w:t xml:space="preserve"> on which any </w:t>
      </w:r>
      <w:r w:rsidR="009A188E">
        <w:t>Transferring Policy</w:t>
      </w:r>
      <w:r w:rsidR="002F25E9">
        <w:t xml:space="preserve"> is based shall as and from the </w:t>
      </w:r>
      <w:r w:rsidR="009A188E">
        <w:t>Transfer Time</w:t>
      </w:r>
      <w:r w:rsidR="002F25E9">
        <w:t xml:space="preserve"> be taken to have been made to </w:t>
      </w:r>
      <w:r w:rsidR="00D00C49">
        <w:t>Gordian</w:t>
      </w:r>
      <w:r w:rsidR="002F25E9">
        <w:t xml:space="preserve"> instead of </w:t>
      </w:r>
      <w:r w:rsidR="00BB63F8">
        <w:t xml:space="preserve">to </w:t>
      </w:r>
      <w:r w:rsidR="00D00C49">
        <w:t>GLA</w:t>
      </w:r>
      <w:r w:rsidR="002F25E9">
        <w:t>.</w:t>
      </w:r>
    </w:p>
    <w:p w:rsidR="00236225" w:rsidP="009A188E">
      <w:pPr>
        <w:pStyle w:val="Heading3"/>
        <w:rPr>
          <w:color w:val="auto"/>
          <w:shd w:val="clear" w:color="auto" w:fill="auto"/>
        </w:rPr>
      </w:pPr>
      <w:r>
        <w:t>a</w:t>
      </w:r>
      <w:r w:rsidR="002F25E9">
        <w:t xml:space="preserve">ny policyholder under </w:t>
      </w:r>
      <w:r w:rsidR="009A188E">
        <w:t>a Transferring Policy</w:t>
      </w:r>
      <w:r w:rsidR="002F25E9">
        <w:t xml:space="preserve"> or other person having any claim on or obligation to </w:t>
      </w:r>
      <w:r w:rsidR="00D00C49">
        <w:t>GLA</w:t>
      </w:r>
      <w:r w:rsidR="002F25E9">
        <w:t xml:space="preserve"> under or in respect of </w:t>
      </w:r>
      <w:r w:rsidR="009A188E">
        <w:t xml:space="preserve">a Transferring Policy </w:t>
      </w:r>
      <w:r w:rsidR="002F25E9">
        <w:t xml:space="preserve">will have the same claim on or obligation to </w:t>
      </w:r>
      <w:r w:rsidR="00D00C49">
        <w:t>Gordian</w:t>
      </w:r>
      <w:r w:rsidR="002F25E9">
        <w:t xml:space="preserve"> in substitution for that person's claim on or obligation to </w:t>
      </w:r>
      <w:r w:rsidR="00D00C49">
        <w:t>GLA</w:t>
      </w:r>
      <w:r w:rsidR="002F25E9">
        <w:t xml:space="preserve"> irrespective of when such claim or obligation arose. </w:t>
      </w:r>
    </w:p>
    <w:p w:rsidR="00236225" w:rsidP="009A188E">
      <w:pPr>
        <w:pStyle w:val="Heading3"/>
        <w:rPr>
          <w:color w:val="auto"/>
          <w:shd w:val="clear" w:color="auto" w:fill="auto"/>
        </w:rPr>
      </w:pPr>
      <w:r>
        <w:t>Gordian</w:t>
      </w:r>
      <w:r w:rsidR="002F25E9">
        <w:t xml:space="preserve"> will be entitled to enforce all rights and remedies  against any policyholder or third party arising under or by virtue of any </w:t>
      </w:r>
      <w:r w:rsidR="009A188E">
        <w:t>Transferring Policy</w:t>
      </w:r>
      <w:r w:rsidR="002F25E9">
        <w:t xml:space="preserve"> (including but not limited to any claims by way of subrogation, contribution, outstanding premium and any other recoveries related directly or indirectly to any </w:t>
      </w:r>
      <w:r w:rsidR="009A188E">
        <w:t>Transferring Policies</w:t>
      </w:r>
      <w:r w:rsidR="002F25E9">
        <w:t>) and receive and appropriate all premiums and other monies which, but for the Scheme</w:t>
      </w:r>
      <w:r w:rsidR="00AF45D9">
        <w:t>,</w:t>
      </w:r>
      <w:r w:rsidR="002F25E9">
        <w:t xml:space="preserve"> would have been enforceable or recoverable by </w:t>
      </w:r>
      <w:r>
        <w:t>GLA</w:t>
      </w:r>
      <w:r w:rsidR="002F25E9">
        <w:t xml:space="preserve"> under or in respect of the </w:t>
      </w:r>
      <w:r w:rsidR="009A188E">
        <w:t>Transferring Policies</w:t>
      </w:r>
      <w:r w:rsidR="002F25E9">
        <w:t xml:space="preserve">. </w:t>
      </w:r>
    </w:p>
    <w:p w:rsidR="00236225">
      <w:pPr>
        <w:pStyle w:val="Heading3"/>
        <w:rPr>
          <w:color w:val="auto"/>
          <w:shd w:val="clear" w:color="auto" w:fill="auto"/>
        </w:rPr>
      </w:pPr>
      <w:r>
        <w:t>a</w:t>
      </w:r>
      <w:r w:rsidR="002F25E9">
        <w:t xml:space="preserve">ll directions, authorities, mandates or instructions given to </w:t>
      </w:r>
      <w:r w:rsidR="00D00C49">
        <w:t>GLA</w:t>
      </w:r>
      <w:r w:rsidR="002F25E9">
        <w:t>:</w:t>
      </w:r>
    </w:p>
    <w:p w:rsidR="00236225">
      <w:pPr>
        <w:pStyle w:val="Heading4"/>
        <w:rPr>
          <w:color w:val="auto"/>
          <w:shd w:val="clear" w:color="auto" w:fill="auto"/>
        </w:rPr>
      </w:pPr>
      <w:r>
        <w:t xml:space="preserve">to deduct premiums or fees payable in respect of the </w:t>
      </w:r>
      <w:r w:rsidR="009A188E">
        <w:t>Transferring Policies</w:t>
      </w:r>
      <w:r>
        <w:t xml:space="preserve"> (including by debiting a bank account/credit card, through automatic payroll deductions or through electronic bank transfer); or</w:t>
      </w:r>
    </w:p>
    <w:p w:rsidR="005E7894">
      <w:pPr>
        <w:pStyle w:val="Heading4"/>
        <w:rPr>
          <w:color w:val="auto"/>
          <w:shd w:val="clear" w:color="auto" w:fill="auto"/>
        </w:rPr>
      </w:pPr>
      <w:r>
        <w:t xml:space="preserve">to use, disclose or obtain information in the course of carrying on the Business (including personal information within the meaning of the </w:t>
      </w:r>
      <w:r>
        <w:rPr>
          <w:i/>
          <w:iCs/>
        </w:rPr>
        <w:t xml:space="preserve">Privacy Act 1988 </w:t>
      </w:r>
      <w:r>
        <w:t>(</w:t>
      </w:r>
      <w:r>
        <w:t>Cth</w:t>
      </w:r>
      <w:r>
        <w:t xml:space="preserve">)), </w:t>
      </w:r>
    </w:p>
    <w:p w:rsidR="00236225" w:rsidP="005E7894">
      <w:pPr>
        <w:pStyle w:val="Heading4"/>
        <w:numPr>
          <w:ilvl w:val="0"/>
          <w:numId w:val="0"/>
        </w:numPr>
        <w:ind w:left="2126" w:hanging="708"/>
        <w:rPr>
          <w:color w:val="auto"/>
          <w:shd w:val="clear" w:color="auto" w:fill="auto"/>
        </w:rPr>
      </w:pPr>
      <w:r>
        <w:t xml:space="preserve">are deemed to be given to </w:t>
      </w:r>
      <w:r w:rsidR="00D00C49">
        <w:t>Gordian</w:t>
      </w:r>
      <w:r>
        <w:t xml:space="preserve"> instead of </w:t>
      </w:r>
      <w:r w:rsidR="00D00C49">
        <w:t>GLA</w:t>
      </w:r>
      <w:r>
        <w:t>.</w:t>
      </w:r>
    </w:p>
    <w:p w:rsidR="00236225">
      <w:pPr>
        <w:pStyle w:val="Heading2"/>
        <w:rPr>
          <w:color w:val="auto"/>
          <w:shd w:val="clear" w:color="auto" w:fill="auto"/>
        </w:rPr>
      </w:pPr>
      <w:r>
        <w:t xml:space="preserve">Policyholders are not required to take any action before or as a result of the Scheme and the terms of the </w:t>
      </w:r>
      <w:r w:rsidR="009A188E">
        <w:t>Transferring Policies</w:t>
      </w:r>
      <w:r>
        <w:t xml:space="preserve"> will not be varied as a consequence of the Scheme, save for the substitution of </w:t>
      </w:r>
      <w:r w:rsidR="00D00C49">
        <w:t>Gordian</w:t>
      </w:r>
      <w:r>
        <w:t xml:space="preserve"> as the insurer.</w:t>
      </w:r>
    </w:p>
    <w:p w:rsidR="00236225">
      <w:pPr>
        <w:pStyle w:val="Heading2"/>
        <w:rPr>
          <w:color w:val="auto"/>
          <w:shd w:val="clear" w:color="auto" w:fill="auto"/>
        </w:rPr>
      </w:pPr>
      <w:r>
        <w:t>Upon confirmation of the Scheme by the Court, the Scheme becomes binding on all parties.</w:t>
      </w:r>
    </w:p>
    <w:sectPr w:rsidSect="00DE0AEA">
      <w:footerReference w:type="even" r:id="rId4"/>
      <w:footerReference w:type="default" r:id="rId5"/>
      <w:footerReference w:type="first" r:id="rId6"/>
      <w:pgSz w:w="11907" w:h="16840" w:code="9"/>
      <w:pgMar w:top="1985" w:right="1418" w:bottom="1134" w:left="1701" w:header="680" w:footer="454" w:gutter="0"/>
      <w:paperSrc w:first="15" w:other="15"/>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6225">
    <w:pPr>
      <w:pStyle w:val="Footer"/>
      <w:framePr w:wrap="around" w:vAnchor="text" w:hAnchor="margin" w:xAlign="center" w:y="1"/>
      <w:rPr>
        <w:rStyle w:val="PageNumber"/>
        <w:color w:val="auto"/>
        <w:shd w:val="clear" w:color="auto" w:fill="auto"/>
      </w:rPr>
    </w:pPr>
    <w:r>
      <w:rPr>
        <w:rStyle w:val="PageNumber"/>
      </w:rPr>
      <w:fldChar w:fldCharType="begin"/>
    </w:r>
    <w:r>
      <w:rPr>
        <w:rStyle w:val="PageNumber"/>
      </w:rPr>
      <w:instrText xml:space="preserve">PAGE  </w:instrText>
    </w:r>
    <w:r>
      <w:rPr>
        <w:rStyle w:val="PageNumber"/>
      </w:rPr>
      <w:fldChar w:fldCharType="separate"/>
    </w:r>
    <w:r w:rsidR="00955FA3">
      <w:rPr>
        <w:rStyle w:val="PageNumber"/>
        <w:noProof/>
      </w:rPr>
      <w:t>1</w:t>
    </w:r>
    <w:r>
      <w:rPr>
        <w:rStyle w:val="PageNumber"/>
      </w:rPr>
      <w:fldChar w:fldCharType="end"/>
    </w:r>
  </w:p>
  <w:p w:rsidR="00236225">
    <w:pPr>
      <w:pStyle w:val="Footer"/>
      <w:rPr>
        <w:color w:val="auto"/>
        <w:shd w:val="clear" w:color="auto" w:fil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6225">
    <w:pPr>
      <w:pStyle w:val="Footer"/>
      <w:framePr w:wrap="around" w:vAnchor="text" w:hAnchor="margin" w:xAlign="center" w:y="1"/>
      <w:rPr>
        <w:rStyle w:val="PageNumber"/>
        <w:color w:val="auto"/>
        <w:shd w:val="clear" w:color="auto" w:fill="auto"/>
      </w:rPr>
    </w:pPr>
    <w:r>
      <w:rPr>
        <w:rStyle w:val="PageNumber"/>
      </w:rPr>
      <w:fldChar w:fldCharType="begin"/>
    </w:r>
    <w:r>
      <w:rPr>
        <w:rStyle w:val="PageNumber"/>
      </w:rPr>
      <w:instrText xml:space="preserve">PAGE  </w:instrText>
    </w:r>
    <w:r>
      <w:rPr>
        <w:rStyle w:val="PageNumber"/>
      </w:rPr>
      <w:fldChar w:fldCharType="separate"/>
    </w:r>
    <w:r w:rsidR="00180327">
      <w:rPr>
        <w:rStyle w:val="PageNumber"/>
        <w:noProof/>
      </w:rPr>
      <w:t>1</w:t>
    </w:r>
    <w:r>
      <w:rPr>
        <w:rStyle w:val="PageNumber"/>
      </w:rPr>
      <w:fldChar w:fldCharType="end"/>
    </w:r>
  </w:p>
  <w:tbl>
    <w:tblPr>
      <w:tblW w:w="0" w:type="auto"/>
      <w:tblLook w:val="04A0"/>
    </w:tblPr>
    <w:tblGrid>
      <w:gridCol w:w="3000"/>
      <w:gridCol w:w="3002"/>
      <w:gridCol w:w="3002"/>
    </w:tblGrid>
    <w:tr>
      <w:tblPrEx>
        <w:tblW w:w="0" w:type="auto"/>
        <w:tblLook w:val="04A0"/>
      </w:tblPrEx>
      <w:tc>
        <w:tcPr>
          <w:tcW w:w="3284" w:type="dxa"/>
          <w:shd w:val="clear" w:color="auto" w:fill="auto"/>
        </w:tcPr>
        <w:p w:rsidR="00236225">
          <w:pPr>
            <w:pStyle w:val="Footer"/>
            <w:rPr>
              <w:color w:val="auto"/>
              <w:sz w:val="13"/>
              <w:szCs w:val="13"/>
              <w:shd w:val="clear" w:color="auto" w:fill="auto"/>
            </w:rPr>
          </w:pPr>
        </w:p>
      </w:tc>
      <w:tc>
        <w:tcPr>
          <w:tcW w:w="3285" w:type="dxa"/>
          <w:shd w:val="clear" w:color="auto" w:fill="auto"/>
        </w:tcPr>
        <w:p w:rsidR="00236225">
          <w:pPr>
            <w:pStyle w:val="Footer"/>
            <w:jc w:val="center"/>
            <w:rPr>
              <w:color w:val="auto"/>
              <w:sz w:val="13"/>
              <w:szCs w:val="13"/>
              <w:shd w:val="clear" w:color="auto" w:fill="auto"/>
            </w:rPr>
          </w:pPr>
        </w:p>
      </w:tc>
      <w:tc>
        <w:tcPr>
          <w:tcW w:w="3285" w:type="dxa"/>
          <w:shd w:val="clear" w:color="auto" w:fill="auto"/>
        </w:tcPr>
        <w:p w:rsidR="00236225">
          <w:pPr>
            <w:pStyle w:val="Footer"/>
            <w:jc w:val="right"/>
            <w:rPr>
              <w:color w:val="auto"/>
              <w:szCs w:val="16"/>
              <w:shd w:val="clear" w:color="auto" w:fill="auto"/>
            </w:rPr>
          </w:pPr>
        </w:p>
      </w:tc>
    </w:tr>
  </w:tbl>
  <w:p w:rsidR="00236225">
    <w:pPr>
      <w:pStyle w:val="Footer"/>
      <w:rPr>
        <w:color w:val="auto"/>
        <w:shd w:val="clear" w:color="auto" w:fil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ook w:val="04A0"/>
    </w:tblPr>
    <w:tblGrid>
      <w:gridCol w:w="3033"/>
      <w:gridCol w:w="2952"/>
      <w:gridCol w:w="3019"/>
    </w:tblGrid>
    <w:tr>
      <w:tblPrEx>
        <w:tblW w:w="0" w:type="auto"/>
        <w:tblLook w:val="04A0"/>
      </w:tblPrEx>
      <w:tc>
        <w:tcPr>
          <w:tcW w:w="3284" w:type="dxa"/>
          <w:shd w:val="clear" w:color="auto" w:fill="auto"/>
        </w:tcPr>
        <w:p w:rsidR="00236225">
          <w:pPr>
            <w:pStyle w:val="Footer"/>
            <w:rPr>
              <w:color w:val="auto"/>
              <w:shd w:val="clear" w:color="auto" w:fill="auto"/>
            </w:rPr>
          </w:pPr>
          <w:r>
            <w:fldChar w:fldCharType="begin"/>
          </w:r>
          <w:r>
            <w:instrText xml:space="preserve"> DOCPROPERTY DocumentDatabase  \* MERGEFORMAT</w:instrText>
          </w:r>
          <w:r>
            <w:fldChar w:fldCharType="separate"/>
          </w:r>
          <w:r w:rsidR="00955FA3">
            <w:rPr>
              <w:b/>
              <w:bCs/>
              <w:lang w:val="en-US"/>
            </w:rPr>
            <w:t>Error! Unknown document property name.</w:t>
          </w:r>
          <w:r>
            <w:fldChar w:fldCharType="end"/>
          </w:r>
          <w:r w:rsidR="002F25E9">
            <w:t>-#</w:t>
          </w:r>
          <w:r>
            <w:fldChar w:fldCharType="begin"/>
          </w:r>
          <w:r>
            <w:instrText xml:space="preserve"> DOCPROPERTY DocumentNumber  \* MERGEFORMAT</w:instrText>
          </w:r>
          <w:r>
            <w:fldChar w:fldCharType="separate"/>
          </w:r>
          <w:r w:rsidR="00955FA3">
            <w:rPr>
              <w:b/>
              <w:bCs/>
              <w:lang w:val="en-US"/>
            </w:rPr>
            <w:t>Error! Unknown document property name.</w:t>
          </w:r>
          <w:r>
            <w:fldChar w:fldCharType="end"/>
          </w:r>
          <w:r w:rsidR="002F25E9">
            <w:t>-v</w:t>
          </w:r>
          <w:r>
            <w:fldChar w:fldCharType="begin"/>
          </w:r>
          <w:r>
            <w:instrText xml:space="preserve"> DOCPROPERTY DocumentVersion  \* MERGEFORMAT</w:instrText>
          </w:r>
          <w:r>
            <w:fldChar w:fldCharType="separate"/>
          </w:r>
          <w:r w:rsidR="00955FA3">
            <w:rPr>
              <w:b/>
              <w:bCs/>
              <w:lang w:val="en-US"/>
            </w:rPr>
            <w:t>Error! Unknown document property name.</w:t>
          </w:r>
          <w:r>
            <w:fldChar w:fldCharType="end"/>
          </w:r>
        </w:p>
      </w:tc>
      <w:tc>
        <w:tcPr>
          <w:tcW w:w="3285" w:type="dxa"/>
          <w:shd w:val="clear" w:color="auto" w:fill="auto"/>
        </w:tcPr>
        <w:p w:rsidR="00236225">
          <w:pPr>
            <w:pStyle w:val="Footer"/>
            <w:rPr>
              <w:color w:val="auto"/>
              <w:shd w:val="clear" w:color="auto" w:fill="auto"/>
            </w:rPr>
          </w:pPr>
        </w:p>
      </w:tc>
      <w:tc>
        <w:tcPr>
          <w:tcW w:w="3285" w:type="dxa"/>
          <w:shd w:val="clear" w:color="auto" w:fill="auto"/>
        </w:tcPr>
        <w:p w:rsidR="00236225">
          <w:pPr>
            <w:pStyle w:val="Footer"/>
            <w:jc w:val="right"/>
            <w:rPr>
              <w:color w:val="auto"/>
              <w:shd w:val="clear" w:color="auto" w:fill="auto"/>
            </w:rPr>
          </w:pPr>
          <w:r>
            <w:t>© Norton Rose Fulbright Australia</w:t>
          </w:r>
        </w:p>
      </w:tc>
    </w:tr>
  </w:tbl>
  <w:p w:rsidR="00236225">
    <w:pPr>
      <w:pStyle w:val="Footer"/>
      <w:rPr>
        <w:color w:val="auto"/>
        <w:shd w:val="clear" w:color="auto" w:fill="auto"/>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1E7A"/>
    <w:multiLevelType w:val="multilevel"/>
    <w:tmpl w:val="D36A47AA"/>
    <w:lvl w:ilvl="0">
      <w:start w:val="1"/>
      <w:numFmt w:val="decimal"/>
      <w:pStyle w:val="BilingualScheduleNumbering1"/>
      <w:lvlText w:val="%1"/>
      <w:lvlJc w:val="left"/>
      <w:pPr>
        <w:ind w:left="709" w:hanging="709"/>
      </w:pPr>
      <w:rPr>
        <w:rFonts w:ascii="Arial Bold" w:hAnsi="Arial Bold" w:hint="default"/>
        <w:b/>
        <w:i w:val="0"/>
        <w:sz w:val="20"/>
      </w:rPr>
    </w:lvl>
    <w:lvl w:ilvl="1">
      <w:start w:val="1"/>
      <w:numFmt w:val="decimal"/>
      <w:pStyle w:val="BilingualScheduleNumbering2"/>
      <w:lvlText w:val="%1.%2"/>
      <w:lvlJc w:val="left"/>
      <w:pPr>
        <w:ind w:left="709" w:hanging="709"/>
      </w:pPr>
      <w:rPr>
        <w:rFonts w:ascii="Arial" w:hAnsi="Arial" w:hint="default"/>
        <w:b w:val="0"/>
        <w:i w:val="0"/>
        <w:sz w:val="20"/>
      </w:rPr>
    </w:lvl>
    <w:lvl w:ilvl="2">
      <w:start w:val="1"/>
      <w:numFmt w:val="decimal"/>
      <w:pStyle w:val="BilingualScheduleNumbering3"/>
      <w:lvlText w:val="(%3)"/>
      <w:lvlJc w:val="right"/>
      <w:pPr>
        <w:ind w:left="1418" w:hanging="709"/>
      </w:pPr>
      <w:rPr>
        <w:rFonts w:hint="default"/>
      </w:rPr>
    </w:lvl>
    <w:lvl w:ilvl="3">
      <w:start w:val="1"/>
      <w:numFmt w:val="lowerLetter"/>
      <w:pStyle w:val="BilingualScheduleNumbering4"/>
      <w:lvlText w:val="(%4)"/>
      <w:lvlJc w:val="left"/>
      <w:pPr>
        <w:ind w:left="2126" w:hanging="708"/>
      </w:pPr>
      <w:rPr>
        <w:rFonts w:hint="default"/>
      </w:rPr>
    </w:lvl>
    <w:lvl w:ilvl="4">
      <w:start w:val="1"/>
      <w:numFmt w:val="lowerRoman"/>
      <w:pStyle w:val="BilingualScheduleNumbering5"/>
      <w:lvlText w:val="(%5)"/>
      <w:lvlJc w:val="left"/>
      <w:pPr>
        <w:ind w:left="2835" w:hanging="709"/>
      </w:pPr>
      <w:rPr>
        <w:rFonts w:hint="default"/>
      </w:rPr>
    </w:lvl>
    <w:lvl w:ilvl="5">
      <w:start w:val="1"/>
      <w:numFmt w:val="none"/>
      <w:lvlRestart w:val="0"/>
      <w:suff w:val="nothing"/>
      <w:lvlJc w:val="left"/>
      <w:pPr>
        <w:ind w:left="0" w:firstLine="0"/>
      </w:pPr>
      <w:rPr>
        <w:rFonts w:hint="default"/>
      </w:rPr>
    </w:lvl>
    <w:lvl w:ilvl="6">
      <w:start w:val="1"/>
      <w:numFmt w:val="none"/>
      <w:lvlRestart w:val="0"/>
      <w:suff w:val="nothing"/>
      <w:lvlJc w:val="left"/>
      <w:pPr>
        <w:ind w:left="0" w:firstLine="0"/>
      </w:pPr>
      <w:rPr>
        <w:rFonts w:hint="default"/>
      </w:rPr>
    </w:lvl>
    <w:lvl w:ilvl="7">
      <w:start w:val="1"/>
      <w:numFmt w:val="none"/>
      <w:lvlRestart w:val="0"/>
      <w:suff w:val="nothing"/>
      <w:lvlJc w:val="left"/>
      <w:pPr>
        <w:ind w:left="-32767" w:firstLine="0"/>
      </w:pPr>
      <w:rPr>
        <w:rFonts w:hint="default"/>
      </w:rPr>
    </w:lvl>
    <w:lvl w:ilvl="8">
      <w:start w:val="1"/>
      <w:numFmt w:val="none"/>
      <w:lvlRestart w:val="0"/>
      <w:suff w:val="nothing"/>
      <w:lvlJc w:val="left"/>
      <w:pPr>
        <w:ind w:left="-32767" w:firstLine="0"/>
      </w:pPr>
      <w:rPr>
        <w:rFonts w:hint="default"/>
      </w:rPr>
    </w:lvl>
  </w:abstractNum>
  <w:abstractNum w:abstractNumId="1">
    <w:nsid w:val="05026036"/>
    <w:multiLevelType w:val="multilevel"/>
    <w:tmpl w:val="434AC19E"/>
    <w:lvl w:ilvl="0">
      <w:start w:val="1"/>
      <w:numFmt w:val="decimal"/>
      <w:pStyle w:val="BilingualSchedule"/>
      <w:suff w:val="nothing"/>
      <w:lvlText w:val="Schedule %1"/>
      <w:lvlJc w:val="left"/>
      <w:pPr>
        <w:ind w:left="709" w:hanging="709"/>
      </w:pPr>
      <w:rPr>
        <w:rFonts w:hint="default"/>
        <w:b/>
        <w:i w:val="0"/>
      </w:rPr>
    </w:lvl>
    <w:lvl w:ilvl="1">
      <w:start w:val="1"/>
      <w:numFmt w:val="none"/>
      <w:lvlRestart w:val="0"/>
      <w:suff w:val="nothing"/>
      <w:lvlJc w:val="left"/>
      <w:pPr>
        <w:ind w:left="0" w:firstLine="0"/>
      </w:pPr>
      <w:rPr>
        <w:rFonts w:hint="default"/>
      </w:rPr>
    </w:lvl>
    <w:lvl w:ilvl="2">
      <w:start w:val="1"/>
      <w:numFmt w:val="none"/>
      <w:lvlRestart w:val="0"/>
      <w:suff w:val="nothing"/>
      <w:lvlJc w:val="right"/>
      <w:pPr>
        <w:ind w:left="0" w:firstLine="0"/>
      </w:pPr>
      <w:rPr>
        <w:rFonts w:hint="default"/>
      </w:rPr>
    </w:lvl>
    <w:lvl w:ilvl="3">
      <w:start w:val="1"/>
      <w:numFmt w:val="none"/>
      <w:lvlRestart w:val="0"/>
      <w:suff w:val="nothing"/>
      <w:lvlJc w:val="left"/>
      <w:pPr>
        <w:ind w:left="0" w:firstLine="0"/>
      </w:pPr>
      <w:rPr>
        <w:rFonts w:hint="default"/>
      </w:rPr>
    </w:lvl>
    <w:lvl w:ilvl="4">
      <w:start w:val="1"/>
      <w:numFmt w:val="none"/>
      <w:lvlRestart w:val="0"/>
      <w:suff w:val="nothing"/>
      <w:lvlJc w:val="left"/>
      <w:pPr>
        <w:ind w:left="0" w:firstLine="0"/>
      </w:pPr>
      <w:rPr>
        <w:rFonts w:hint="default"/>
      </w:rPr>
    </w:lvl>
    <w:lvl w:ilvl="5">
      <w:start w:val="1"/>
      <w:numFmt w:val="none"/>
      <w:lvlRestart w:val="0"/>
      <w:suff w:val="nothing"/>
      <w:lvlJc w:val="right"/>
      <w:pPr>
        <w:ind w:left="0" w:firstLine="0"/>
      </w:pPr>
      <w:rPr>
        <w:rFonts w:hint="default"/>
      </w:rPr>
    </w:lvl>
    <w:lvl w:ilvl="6">
      <w:start w:val="1"/>
      <w:numFmt w:val="none"/>
      <w:lvlRestart w:val="0"/>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suff w:val="nothing"/>
      <w:lvlJc w:val="right"/>
      <w:pPr>
        <w:ind w:left="0" w:firstLine="0"/>
      </w:pPr>
      <w:rPr>
        <w:rFonts w:hint="default"/>
      </w:rPr>
    </w:lvl>
  </w:abstractNum>
  <w:abstractNum w:abstractNumId="2">
    <w:nsid w:val="073A5B0F"/>
    <w:multiLevelType w:val="multilevel"/>
    <w:tmpl w:val="2214C8A6"/>
    <w:lvl w:ilvl="0">
      <w:start w:val="1"/>
      <w:numFmt w:val="decimal"/>
      <w:pStyle w:val="Heading1"/>
      <w:lvlText w:val="%1"/>
      <w:lvlJc w:val="left"/>
      <w:pPr>
        <w:tabs>
          <w:tab w:val="num" w:pos="709"/>
        </w:tabs>
        <w:ind w:left="709" w:hanging="709"/>
      </w:pPr>
      <w:rPr>
        <w:rFonts w:ascii="Arial" w:hAnsi="Arial" w:hint="default"/>
        <w:b/>
        <w:i w:val="0"/>
        <w:sz w:val="24"/>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lvlRestart w:val="0"/>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3">
    <w:nsid w:val="0A225F39"/>
    <w:multiLevelType w:val="multilevel"/>
    <w:tmpl w:val="8E7818E6"/>
    <w:lvl w:ilvl="0">
      <w:start w:val="1"/>
      <w:numFmt w:val="upperLetter"/>
      <w:pStyle w:val="BilingualAnnexure"/>
      <w:suff w:val="nothing"/>
      <w:lvlText w:val="Annexure %1"/>
      <w:lvlJc w:val="left"/>
      <w:pPr>
        <w:ind w:left="431" w:hanging="431"/>
      </w:pPr>
      <w:rPr>
        <w:rFonts w:ascii="Arial Bold" w:hAnsi="Arial Bold" w:hint="default"/>
        <w:b/>
        <w:i w:val="0"/>
        <w:sz w:val="24"/>
      </w:rPr>
    </w:lvl>
    <w:lvl w:ilvl="1">
      <w:start w:val="1"/>
      <w:numFmt w:val="none"/>
      <w:lvlRestart w:val="0"/>
      <w:suff w:val="nothing"/>
      <w:lvlJc w:val="left"/>
      <w:pPr>
        <w:ind w:left="0" w:firstLine="0"/>
      </w:pPr>
      <w:rPr>
        <w:rFonts w:hint="default"/>
      </w:rPr>
    </w:lvl>
    <w:lvl w:ilvl="2">
      <w:start w:val="1"/>
      <w:numFmt w:val="none"/>
      <w:lvlRestart w:val="0"/>
      <w:suff w:val="nothing"/>
      <w:lvlJc w:val="right"/>
      <w:pPr>
        <w:ind w:left="0" w:firstLine="0"/>
      </w:pPr>
      <w:rPr>
        <w:rFonts w:hint="default"/>
      </w:rPr>
    </w:lvl>
    <w:lvl w:ilvl="3">
      <w:start w:val="1"/>
      <w:numFmt w:val="none"/>
      <w:lvlRestart w:val="0"/>
      <w:suff w:val="nothing"/>
      <w:lvlJc w:val="left"/>
      <w:pPr>
        <w:ind w:left="0" w:firstLine="0"/>
      </w:pPr>
      <w:rPr>
        <w:rFonts w:hint="default"/>
      </w:rPr>
    </w:lvl>
    <w:lvl w:ilvl="4">
      <w:start w:val="1"/>
      <w:numFmt w:val="none"/>
      <w:lvlRestart w:val="0"/>
      <w:suff w:val="nothing"/>
      <w:lvlJc w:val="left"/>
      <w:pPr>
        <w:ind w:left="0" w:firstLine="0"/>
      </w:pPr>
      <w:rPr>
        <w:rFonts w:hint="default"/>
      </w:rPr>
    </w:lvl>
    <w:lvl w:ilvl="5">
      <w:start w:val="1"/>
      <w:numFmt w:val="none"/>
      <w:lvlRestart w:val="0"/>
      <w:suff w:val="nothing"/>
      <w:lvlJc w:val="right"/>
      <w:pPr>
        <w:ind w:left="0" w:firstLine="0"/>
      </w:pPr>
      <w:rPr>
        <w:rFonts w:hint="default"/>
      </w:rPr>
    </w:lvl>
    <w:lvl w:ilvl="6">
      <w:start w:val="1"/>
      <w:numFmt w:val="none"/>
      <w:lvlRestart w:val="0"/>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suff w:val="nothing"/>
      <w:lvlJc w:val="right"/>
      <w:pPr>
        <w:ind w:left="0" w:firstLine="0"/>
      </w:pPr>
      <w:rPr>
        <w:rFonts w:hint="default"/>
      </w:rPr>
    </w:lvl>
  </w:abstractNum>
  <w:abstractNum w:abstractNumId="4">
    <w:nsid w:val="1149460B"/>
    <w:multiLevelType w:val="singleLevel"/>
    <w:tmpl w:val="882EC94C"/>
    <w:lvl w:ilvl="0">
      <w:start w:val="3"/>
      <w:numFmt w:val="bullet"/>
      <w:pStyle w:val="Style2"/>
      <w:lvlText w:val=""/>
      <w:lvlJc w:val="left"/>
      <w:pPr>
        <w:tabs>
          <w:tab w:val="num" w:pos="360"/>
        </w:tabs>
        <w:ind w:left="227" w:hanging="227"/>
      </w:pPr>
      <w:rPr>
        <w:rFonts w:ascii="Symbol" w:hAnsi="Symbol" w:hint="default"/>
        <w:b w:val="0"/>
        <w:i w:val="0"/>
        <w:caps w:val="0"/>
        <w:strike w:val="0"/>
        <w:dstrike w:val="0"/>
        <w:vanish w:val="0"/>
        <w:color w:val="000000"/>
        <w:sz w:val="18"/>
        <w:vertAlign w:val="baseline"/>
        <w14:shadow w14:blurRad="0" w14:dist="0" w14:dir="0" w14:sx="0" w14:sy="0" w14:kx="0" w14:ky="0" w14:algn="none">
          <w14:srgbClr w14:val="000000"/>
        </w14:shadow>
        <w14:textOutline w14:cap="rnd">
          <w14:noFill/>
          <w14:bevel/>
        </w14:textOutline>
      </w:rPr>
    </w:lvl>
  </w:abstractNum>
  <w:abstractNum w:abstractNumId="5">
    <w:nsid w:val="1BEF6324"/>
    <w:multiLevelType w:val="multilevel"/>
    <w:tmpl w:val="E99EE40C"/>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none"/>
      <w:lvlRestart w:val="0"/>
      <w:suff w:val="nothing"/>
      <w:lvlJc w:val="left"/>
      <w:pPr>
        <w:ind w:left="0" w:firstLine="0"/>
      </w:pPr>
      <w:rPr>
        <w:rFonts w:hint="default"/>
      </w:rPr>
    </w:lvl>
    <w:lvl w:ilvl="6">
      <w:start w:val="1"/>
      <w:numFmt w:val="none"/>
      <w:lvlRestart w:val="0"/>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6">
    <w:nsid w:val="1C356454"/>
    <w:multiLevelType w:val="multilevel"/>
    <w:tmpl w:val="3FCCDA5A"/>
    <w:lvl w:ilvl="0">
      <w:start w:val="1"/>
      <w:numFmt w:val="upperLetter"/>
      <w:pStyle w:val="Recital"/>
      <w:lvlText w:val="%1"/>
      <w:lvlJc w:val="left"/>
      <w:pPr>
        <w:tabs>
          <w:tab w:val="num" w:pos="709"/>
        </w:tabs>
        <w:ind w:left="709" w:hanging="709"/>
      </w:pPr>
      <w:rPr>
        <w:rFonts w:hint="default"/>
        <w:b/>
        <w:i w:val="0"/>
        <w:sz w:val="20"/>
      </w:rPr>
    </w:lvl>
    <w:lvl w:ilvl="1">
      <w:start w:val="1"/>
      <w:numFmt w:val="none"/>
      <w:lvlRestart w:val="0"/>
      <w:suff w:val="nothing"/>
      <w:lvlJc w:val="left"/>
      <w:pPr>
        <w:ind w:left="0" w:firstLine="0"/>
      </w:pPr>
      <w:rPr>
        <w:rFonts w:hint="default"/>
      </w:rPr>
    </w:lvl>
    <w:lvl w:ilvl="2">
      <w:start w:val="1"/>
      <w:numFmt w:val="none"/>
      <w:lvlRestart w:val="0"/>
      <w:suff w:val="nothing"/>
      <w:lvlJc w:val="left"/>
      <w:pPr>
        <w:ind w:left="0" w:firstLine="0"/>
      </w:pPr>
      <w:rPr>
        <w:rFonts w:hint="default"/>
      </w:rPr>
    </w:lvl>
    <w:lvl w:ilvl="3">
      <w:start w:val="1"/>
      <w:numFmt w:val="none"/>
      <w:lvlRestart w:val="0"/>
      <w:suff w:val="nothing"/>
      <w:lvlJc w:val="left"/>
      <w:pPr>
        <w:ind w:left="0" w:firstLine="0"/>
      </w:pPr>
      <w:rPr>
        <w:rFonts w:hint="default"/>
      </w:rPr>
    </w:lvl>
    <w:lvl w:ilvl="4">
      <w:start w:val="1"/>
      <w:numFmt w:val="none"/>
      <w:lvlRestart w:val="0"/>
      <w:suff w:val="nothing"/>
      <w:lvlJc w:val="left"/>
      <w:pPr>
        <w:ind w:left="0" w:firstLine="0"/>
      </w:pPr>
      <w:rPr>
        <w:rFonts w:hint="default"/>
      </w:rPr>
    </w:lvl>
    <w:lvl w:ilvl="5">
      <w:start w:val="1"/>
      <w:numFmt w:val="none"/>
      <w:lvlRestart w:val="0"/>
      <w:suff w:val="nothing"/>
      <w:lvlJc w:val="left"/>
      <w:pPr>
        <w:ind w:left="0" w:firstLine="0"/>
      </w:pPr>
      <w:rPr>
        <w:rFonts w:hint="default"/>
      </w:rPr>
    </w:lvl>
    <w:lvl w:ilvl="6">
      <w:start w:val="1"/>
      <w:numFmt w:val="none"/>
      <w:lvlRestart w:val="0"/>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7">
    <w:nsid w:val="27325D0E"/>
    <w:multiLevelType w:val="multilevel"/>
    <w:tmpl w:val="73AAAAE0"/>
    <w:lvl w:ilvl="0">
      <w:start w:val="1"/>
      <w:numFmt w:val="upperLetter"/>
      <w:pStyle w:val="BilingualRecital"/>
      <w:lvlText w:val="%1"/>
      <w:lvlJc w:val="left"/>
      <w:pPr>
        <w:tabs>
          <w:tab w:val="num" w:pos="709"/>
        </w:tabs>
        <w:ind w:left="709" w:hanging="709"/>
      </w:pPr>
      <w:rPr>
        <w:rFonts w:hint="default"/>
        <w:b/>
        <w:i w:val="0"/>
      </w:rPr>
    </w:lvl>
    <w:lvl w:ilvl="1">
      <w:start w:val="1"/>
      <w:numFmt w:val="none"/>
      <w:lvlRestart w:val="0"/>
      <w:suff w:val="nothing"/>
      <w:lvlJc w:val="left"/>
      <w:pPr>
        <w:ind w:left="0" w:firstLine="0"/>
      </w:pPr>
      <w:rPr>
        <w:rFonts w:hint="default"/>
      </w:rPr>
    </w:lvl>
    <w:lvl w:ilvl="2">
      <w:start w:val="1"/>
      <w:numFmt w:val="none"/>
      <w:lvlRestart w:val="0"/>
      <w:suff w:val="nothing"/>
      <w:lvlJc w:val="right"/>
      <w:pPr>
        <w:ind w:left="0" w:firstLine="0"/>
      </w:pPr>
      <w:rPr>
        <w:rFonts w:hint="default"/>
      </w:rPr>
    </w:lvl>
    <w:lvl w:ilvl="3">
      <w:start w:val="1"/>
      <w:numFmt w:val="none"/>
      <w:lvlRestart w:val="0"/>
      <w:suff w:val="nothing"/>
      <w:lvlJc w:val="left"/>
      <w:pPr>
        <w:ind w:left="0" w:firstLine="0"/>
      </w:pPr>
      <w:rPr>
        <w:rFonts w:hint="default"/>
      </w:rPr>
    </w:lvl>
    <w:lvl w:ilvl="4">
      <w:start w:val="1"/>
      <w:numFmt w:val="none"/>
      <w:lvlRestart w:val="0"/>
      <w:suff w:val="nothing"/>
      <w:lvlJc w:val="left"/>
      <w:pPr>
        <w:ind w:left="0" w:firstLine="0"/>
      </w:pPr>
      <w:rPr>
        <w:rFonts w:hint="default"/>
      </w:rPr>
    </w:lvl>
    <w:lvl w:ilvl="5">
      <w:start w:val="1"/>
      <w:numFmt w:val="none"/>
      <w:lvlRestart w:val="0"/>
      <w:suff w:val="nothing"/>
      <w:lvlJc w:val="right"/>
      <w:pPr>
        <w:ind w:left="0" w:firstLine="0"/>
      </w:pPr>
      <w:rPr>
        <w:rFonts w:hint="default"/>
      </w:rPr>
    </w:lvl>
    <w:lvl w:ilvl="6">
      <w:start w:val="1"/>
      <w:numFmt w:val="none"/>
      <w:lvlRestart w:val="0"/>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suff w:val="nothing"/>
      <w:lvlJc w:val="right"/>
      <w:pPr>
        <w:ind w:left="0" w:firstLine="0"/>
      </w:pPr>
      <w:rPr>
        <w:rFonts w:hint="default"/>
      </w:rPr>
    </w:lvl>
  </w:abstractNum>
  <w:abstractNum w:abstractNumId="8">
    <w:nsid w:val="2B3B2A8A"/>
    <w:multiLevelType w:val="multilevel"/>
    <w:tmpl w:val="4D400834"/>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none"/>
      <w:lvlRestart w:val="0"/>
      <w:suff w:val="nothing"/>
      <w:lvlJc w:val="left"/>
      <w:pPr>
        <w:ind w:left="0" w:firstLine="0"/>
      </w:pPr>
      <w:rPr>
        <w:rFonts w:hint="default"/>
      </w:rPr>
    </w:lvl>
    <w:lvl w:ilvl="2">
      <w:start w:val="1"/>
      <w:numFmt w:val="none"/>
      <w:lvlRestart w:val="0"/>
      <w:suff w:val="nothing"/>
      <w:lvlJc w:val="left"/>
      <w:pPr>
        <w:ind w:left="0" w:firstLine="0"/>
      </w:pPr>
      <w:rPr>
        <w:rFonts w:hint="default"/>
      </w:rPr>
    </w:lvl>
    <w:lvl w:ilvl="3">
      <w:start w:val="1"/>
      <w:numFmt w:val="none"/>
      <w:lvlRestart w:val="0"/>
      <w:suff w:val="nothing"/>
      <w:lvlJc w:val="left"/>
      <w:pPr>
        <w:ind w:left="0" w:firstLine="0"/>
      </w:pPr>
      <w:rPr>
        <w:rFonts w:hint="default"/>
      </w:rPr>
    </w:lvl>
    <w:lvl w:ilvl="4">
      <w:start w:val="1"/>
      <w:numFmt w:val="none"/>
      <w:lvlRestart w:val="0"/>
      <w:suff w:val="nothing"/>
      <w:lvlJc w:val="left"/>
      <w:pPr>
        <w:ind w:left="0" w:firstLine="0"/>
      </w:pPr>
      <w:rPr>
        <w:rFonts w:hint="default"/>
      </w:rPr>
    </w:lvl>
    <w:lvl w:ilvl="5">
      <w:start w:val="1"/>
      <w:numFmt w:val="none"/>
      <w:lvlRestart w:val="0"/>
      <w:suff w:val="nothing"/>
      <w:lvlJc w:val="left"/>
      <w:pPr>
        <w:ind w:left="0" w:firstLine="0"/>
      </w:pPr>
      <w:rPr>
        <w:rFonts w:hint="default"/>
      </w:rPr>
    </w:lvl>
    <w:lvl w:ilvl="6">
      <w:start w:val="1"/>
      <w:numFmt w:val="none"/>
      <w:lvlRestart w:val="0"/>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9">
    <w:nsid w:val="32465C0D"/>
    <w:multiLevelType w:val="multilevel"/>
    <w:tmpl w:val="07A6B95A"/>
    <w:lvl w:ilvl="0">
      <w:start w:val="1"/>
      <w:numFmt w:val="decimal"/>
      <w:pStyle w:val="Schedule"/>
      <w:suff w:val="nothing"/>
      <w:lvlText w:val="Schedule %1"/>
      <w:lvlJc w:val="left"/>
      <w:pPr>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391028F"/>
    <w:multiLevelType w:val="multilevel"/>
    <w:tmpl w:val="B210C0A8"/>
    <w:lvl w:ilvl="0">
      <w:start w:val="1"/>
      <w:numFmt w:val="decimal"/>
      <w:pStyle w:val="BilingualHeading1"/>
      <w:lvlText w:val="%1"/>
      <w:lvlJc w:val="left"/>
      <w:pPr>
        <w:tabs>
          <w:tab w:val="num" w:pos="709"/>
        </w:tabs>
        <w:ind w:left="709" w:hanging="709"/>
      </w:pPr>
      <w:rPr>
        <w:rFonts w:ascii="Arial" w:hAnsi="Arial" w:hint="default"/>
        <w:b/>
        <w:i w:val="0"/>
        <w:sz w:val="24"/>
        <w:szCs w:val="24"/>
      </w:rPr>
    </w:lvl>
    <w:lvl w:ilvl="1">
      <w:start w:val="1"/>
      <w:numFmt w:val="decimal"/>
      <w:pStyle w:val="BilingualHeading2"/>
      <w:lvlText w:val="%1.%2"/>
      <w:lvlJc w:val="left"/>
      <w:pPr>
        <w:tabs>
          <w:tab w:val="num" w:pos="709"/>
        </w:tabs>
        <w:ind w:left="709" w:hanging="709"/>
      </w:pPr>
      <w:rPr>
        <w:rFonts w:ascii="Arial" w:hAnsi="Arial" w:hint="default"/>
        <w:b w:val="0"/>
        <w:i w:val="0"/>
        <w:sz w:val="20"/>
      </w:rPr>
    </w:lvl>
    <w:lvl w:ilvl="2">
      <w:start w:val="1"/>
      <w:numFmt w:val="decimal"/>
      <w:pStyle w:val="BilingualHeading3"/>
      <w:lvlText w:val="(%3)"/>
      <w:lvlJc w:val="left"/>
      <w:pPr>
        <w:tabs>
          <w:tab w:val="num" w:pos="1418"/>
        </w:tabs>
        <w:ind w:left="1418" w:hanging="709"/>
      </w:pPr>
      <w:rPr>
        <w:rFonts w:ascii="Arial" w:hAnsi="Arial" w:hint="default"/>
        <w:b w:val="0"/>
        <w:i w:val="0"/>
        <w:sz w:val="20"/>
      </w:rPr>
    </w:lvl>
    <w:lvl w:ilvl="3">
      <w:start w:val="1"/>
      <w:numFmt w:val="lowerLetter"/>
      <w:pStyle w:val="BilingualHeading4"/>
      <w:lvlText w:val="(%4)"/>
      <w:lvlJc w:val="left"/>
      <w:pPr>
        <w:tabs>
          <w:tab w:val="num" w:pos="2126"/>
        </w:tabs>
        <w:ind w:left="2126" w:hanging="708"/>
      </w:pPr>
      <w:rPr>
        <w:rFonts w:ascii="Arial" w:hAnsi="Arial" w:hint="default"/>
        <w:b w:val="0"/>
        <w:i w:val="0"/>
        <w:sz w:val="20"/>
      </w:rPr>
    </w:lvl>
    <w:lvl w:ilvl="4">
      <w:start w:val="1"/>
      <w:numFmt w:val="lowerRoman"/>
      <w:pStyle w:val="BilingualHeading5"/>
      <w:lvlText w:val="(%5)"/>
      <w:lvlJc w:val="left"/>
      <w:pPr>
        <w:tabs>
          <w:tab w:val="num" w:pos="2835"/>
        </w:tabs>
        <w:ind w:left="2835" w:hanging="709"/>
      </w:pPr>
      <w:rPr>
        <w:rFonts w:ascii="Arial" w:hAnsi="Arial" w:hint="default"/>
        <w:b w:val="0"/>
        <w:i w:val="0"/>
        <w:sz w:val="20"/>
      </w:rPr>
    </w:lvl>
    <w:lvl w:ilvl="5">
      <w:start w:val="1"/>
      <w:numFmt w:val="upperLetter"/>
      <w:pStyle w:val="BilingualHeading6"/>
      <w:lvlText w:val="(%6)"/>
      <w:lvlJc w:val="left"/>
      <w:pPr>
        <w:tabs>
          <w:tab w:val="num" w:pos="3544"/>
        </w:tabs>
        <w:ind w:left="3544" w:hanging="709"/>
      </w:pPr>
      <w:rPr>
        <w:rFonts w:ascii="Arial" w:hAnsi="Arial" w:hint="default"/>
        <w:b w:val="0"/>
        <w:i w:val="0"/>
        <w:sz w:val="20"/>
      </w:rPr>
    </w:lvl>
    <w:lvl w:ilvl="6">
      <w:start w:val="1"/>
      <w:numFmt w:val="none"/>
      <w:lvlRestart w:val="0"/>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11">
    <w:nsid w:val="5FDF3DC8"/>
    <w:multiLevelType w:val="multilevel"/>
    <w:tmpl w:val="9F004F4C"/>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none"/>
      <w:lvlRestart w:val="0"/>
      <w:suff w:val="nothing"/>
      <w:lvlJc w:val="left"/>
      <w:pPr>
        <w:ind w:left="0" w:firstLine="0"/>
      </w:pPr>
      <w:rPr>
        <w:rFonts w:hint="default"/>
      </w:rPr>
    </w:lvl>
    <w:lvl w:ilvl="2">
      <w:start w:val="1"/>
      <w:numFmt w:val="none"/>
      <w:lvlRestart w:val="0"/>
      <w:suff w:val="nothing"/>
      <w:lvlJc w:val="left"/>
      <w:pPr>
        <w:ind w:left="0" w:firstLine="0"/>
      </w:pPr>
      <w:rPr>
        <w:rFonts w:hint="default"/>
      </w:rPr>
    </w:lvl>
    <w:lvl w:ilvl="3">
      <w:start w:val="1"/>
      <w:numFmt w:val="none"/>
      <w:lvlRestart w:val="0"/>
      <w:suff w:val="nothing"/>
      <w:lvlJc w:val="left"/>
      <w:pPr>
        <w:ind w:left="0" w:firstLine="0"/>
      </w:pPr>
      <w:rPr>
        <w:rFonts w:hint="default"/>
      </w:rPr>
    </w:lvl>
    <w:lvl w:ilvl="4">
      <w:start w:val="1"/>
      <w:numFmt w:val="none"/>
      <w:lvlRestart w:val="0"/>
      <w:suff w:val="nothing"/>
      <w:lvlJc w:val="left"/>
      <w:pPr>
        <w:ind w:left="0" w:firstLine="0"/>
      </w:pPr>
      <w:rPr>
        <w:rFonts w:hint="default"/>
      </w:rPr>
    </w:lvl>
    <w:lvl w:ilvl="5">
      <w:start w:val="1"/>
      <w:numFmt w:val="none"/>
      <w:lvlRestart w:val="0"/>
      <w:suff w:val="nothing"/>
      <w:lvlJc w:val="left"/>
      <w:pPr>
        <w:ind w:left="0" w:firstLine="0"/>
      </w:pPr>
      <w:rPr>
        <w:rFonts w:hint="default"/>
      </w:rPr>
    </w:lvl>
    <w:lvl w:ilvl="6">
      <w:start w:val="1"/>
      <w:numFmt w:val="none"/>
      <w:lvlRestart w:val="0"/>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12">
    <w:nsid w:val="62483434"/>
    <w:multiLevelType w:val="multilevel"/>
    <w:tmpl w:val="C72679B4"/>
    <w:lvl w:ilvl="0">
      <w:start w:val="1"/>
      <w:numFmt w:val="bullet"/>
      <w:pStyle w:val="NRFABullet1"/>
      <w:lvlText w:val=""/>
      <w:lvlJc w:val="left"/>
      <w:pPr>
        <w:ind w:left="709" w:hanging="709"/>
      </w:pPr>
      <w:rPr>
        <w:rFonts w:ascii="Symbol" w:hAnsi="Symbol" w:hint="default"/>
      </w:rPr>
    </w:lvl>
    <w:lvl w:ilvl="1">
      <w:start w:val="1"/>
      <w:numFmt w:val="bullet"/>
      <w:pStyle w:val="NRFABullet2"/>
      <w:lvlText w:val="-"/>
      <w:lvlJc w:val="left"/>
      <w:pPr>
        <w:ind w:left="1418" w:hanging="709"/>
      </w:pPr>
      <w:rPr>
        <w:rFonts w:ascii="Courier New" w:hAnsi="Courier New" w:hint="default"/>
      </w:rPr>
    </w:lvl>
    <w:lvl w:ilvl="2">
      <w:start w:val="1"/>
      <w:numFmt w:val="none"/>
      <w:lvlJc w:val="left"/>
      <w:pPr>
        <w:ind w:left="2126" w:hanging="708"/>
      </w:pPr>
      <w:rPr>
        <w:rFonts w:hint="default"/>
      </w:rPr>
    </w:lvl>
    <w:lvl w:ilvl="3">
      <w:start w:val="1"/>
      <w:numFmt w:val="none"/>
      <w:lvlJc w:val="left"/>
      <w:pPr>
        <w:ind w:left="2835" w:hanging="709"/>
      </w:pPr>
      <w:rPr>
        <w:rFonts w:hint="default"/>
      </w:rPr>
    </w:lvl>
    <w:lvl w:ilvl="4">
      <w:start w:val="1"/>
      <w:numFmt w:val="none"/>
      <w:lvlJc w:val="left"/>
      <w:pPr>
        <w:ind w:left="3544" w:hanging="709"/>
      </w:pPr>
      <w:rPr>
        <w:rFonts w:hint="default"/>
      </w:rPr>
    </w:lvl>
    <w:lvl w:ilvl="5">
      <w:start w:val="1"/>
      <w:numFmt w:val="none"/>
      <w:lvlJc w:val="left"/>
      <w:pPr>
        <w:ind w:left="4253" w:hanging="709"/>
      </w:pPr>
      <w:rPr>
        <w:rFonts w:hint="default"/>
      </w:rPr>
    </w:lvl>
    <w:lvl w:ilvl="6">
      <w:start w:val="1"/>
      <w:numFmt w:val="none"/>
      <w:lvlText w:val="%7"/>
      <w:lvlJc w:val="left"/>
      <w:pPr>
        <w:ind w:left="4820" w:hanging="709"/>
      </w:pPr>
      <w:rPr>
        <w:rFonts w:hint="default"/>
      </w:rPr>
    </w:lvl>
    <w:lvl w:ilvl="7">
      <w:start w:val="1"/>
      <w:numFmt w:val="none"/>
      <w:lvlJc w:val="left"/>
      <w:pPr>
        <w:ind w:left="5528" w:hanging="708"/>
      </w:pPr>
      <w:rPr>
        <w:rFonts w:hint="default"/>
      </w:rPr>
    </w:lvl>
    <w:lvl w:ilvl="8">
      <w:start w:val="1"/>
      <w:numFmt w:val="none"/>
      <w:lvlJc w:val="left"/>
      <w:pPr>
        <w:ind w:left="6237" w:hanging="709"/>
      </w:pPr>
      <w:rPr>
        <w:rFonts w:hint="default"/>
      </w:rPr>
    </w:lvl>
  </w:abstractNum>
  <w:abstractNum w:abstractNumId="13">
    <w:nsid w:val="64705685"/>
    <w:multiLevelType w:val="hybridMultilevel"/>
    <w:tmpl w:val="7002703E"/>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471022D"/>
    <w:multiLevelType w:val="hybridMultilevel"/>
    <w:tmpl w:val="6E82D220"/>
    <w:lvl w:ilvl="0">
      <w:start w:val="1"/>
      <w:numFmt w:val="decimal"/>
      <w:pStyle w:val="BilingualItem"/>
      <w:lvlText w:val="Item %1"/>
      <w:lvlJc w:val="left"/>
      <w:pPr>
        <w:ind w:left="720" w:hanging="360"/>
      </w:pPr>
      <w:rPr>
        <w:rFonts w:hint="default"/>
        <w:b w:val="0"/>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4"/>
  </w:num>
  <w:num w:numId="39">
    <w:abstractNumId w:val="2"/>
  </w:num>
  <w:num w:numId="40">
    <w:abstractNumId w:val="2"/>
  </w:num>
  <w:num w:numId="41">
    <w:abstractNumId w:val="2"/>
  </w:num>
  <w:num w:numId="42">
    <w:abstractNumId w:val="6"/>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drawingGridHorizontalSpacing w:val="17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3" w:unhideWhenUsed="0" w:qFormat="1"/>
    <w:lsdException w:name="heading 2" w:semiHidden="0" w:uiPriority="13" w:unhideWhenUsed="0" w:qFormat="1"/>
    <w:lsdException w:name="heading 3" w:semiHidden="0" w:uiPriority="13" w:unhideWhenUsed="0" w:qFormat="1"/>
    <w:lsdException w:name="heading 4" w:semiHidden="0" w:uiPriority="13" w:unhideWhenUsed="0" w:qFormat="1"/>
    <w:lsdException w:name="heading 5" w:semiHidden="0" w:uiPriority="13" w:unhideWhenUsed="0" w:qFormat="1"/>
    <w:lsdException w:name="heading 6" w:semiHidden="0" w:uiPriority="13"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AU"/>
    </w:rPr>
  </w:style>
  <w:style w:type="paragraph" w:styleId="Heading1">
    <w:name w:val="heading 1"/>
    <w:aliases w:val="(Alt+1),1,H1,Head,Head1,Heading 1 - Do not use,Heading 1numbered,Heading A,Lev 1,Level 1,Level 1 Head,Numbered,Outline1,PA Chapter,Section,Section Heading,Section Title,h1,h11,h12,h13,h14,h15,h16,h17,heading a,lev1,ni1,nu,numbered indent 1,t1"/>
    <w:basedOn w:val="Normal"/>
    <w:next w:val="Heading2"/>
    <w:uiPriority w:val="13"/>
    <w:qFormat/>
    <w:pPr>
      <w:keepNext/>
      <w:numPr>
        <w:numId w:val="1"/>
      </w:numPr>
      <w:spacing w:before="360"/>
      <w:outlineLvl w:val="0"/>
    </w:pPr>
    <w:rPr>
      <w:b/>
      <w:sz w:val="24"/>
    </w:rPr>
  </w:style>
  <w:style w:type="paragraph" w:styleId="Heading2">
    <w:name w:val="heading 2"/>
    <w:aliases w:val="1.Seite,2,Chapter,H2,Hanging 2 Indent,Heading 2 Hidden,Heading 2 substyle,KJL:1st Level,Lev 2,Level 2 Heading,Major,Numbered indent 2,PA Major Section,Proposal,Reset numbering,Reset numbering1,Sub Heading,exercise,h2,h21,ni2,numbered indent 2"/>
    <w:basedOn w:val="Normal"/>
    <w:next w:val="BodyText2"/>
    <w:link w:val="Heading2Char"/>
    <w:uiPriority w:val="13"/>
    <w:qFormat/>
    <w:pPr>
      <w:numPr>
        <w:ilvl w:val="1"/>
        <w:numId w:val="1"/>
      </w:numPr>
      <w:spacing w:before="240"/>
      <w:outlineLvl w:val="1"/>
    </w:pPr>
  </w:style>
  <w:style w:type="paragraph" w:styleId="Heading3">
    <w:name w:val="heading 3"/>
    <w:aliases w:val="(Alt+3),(a),3,H3,JM,KJL:2nd Level,Lev 3,Level 1 - 1,Level 1 - 11,Minor,Minor1,Org Heading 1,Outline3,PA Minor Section,PARA3,PARA31,Proposa,Sub heading,Sub-sub section Title,h3,h31,h32,heading c,l3,l3.3,ni3,normalindent2,numbered indent 3"/>
    <w:basedOn w:val="Normal"/>
    <w:link w:val="Heading3Char"/>
    <w:uiPriority w:val="13"/>
    <w:qFormat/>
    <w:pPr>
      <w:numPr>
        <w:ilvl w:val="2"/>
        <w:numId w:val="1"/>
      </w:numPr>
      <w:spacing w:before="240"/>
      <w:outlineLvl w:val="2"/>
    </w:pPr>
  </w:style>
  <w:style w:type="paragraph" w:styleId="Heading4">
    <w:name w:val="heading 4"/>
    <w:aliases w:val="(Alt+4),1.1.1.1,4,41,42,43,44,45,Bullet 1,E4,H4,H41,H42,H43,H44,H45,Head4,Lev 4,Level 2 - a,Map Title,PA Micro Section,Paragraph Title,Propos,Sub sub heading,Sub-Minor,Te,a.,a.1,a.2,a.3,a.4,a.5,b1,h4,h41,h42,h43,h44,h45,h:4,list 2,secx n.n.n"/>
    <w:basedOn w:val="Normal"/>
    <w:link w:val="Heading4Char"/>
    <w:uiPriority w:val="13"/>
    <w:qFormat/>
    <w:pPr>
      <w:numPr>
        <w:ilvl w:val="3"/>
        <w:numId w:val="1"/>
      </w:numPr>
      <w:spacing w:before="240"/>
      <w:outlineLvl w:val="3"/>
    </w:pPr>
  </w:style>
  <w:style w:type="paragraph" w:styleId="Heading5">
    <w:name w:val="heading 5"/>
    <w:aliases w:val="Appendix A to X,Blank 1,H5,Heading 5(unused),Lev 5,Level 3 - i,PA Pico Section,Response Type,Response Type1,Response Type2,Response Type3,Response Type4,Response Type5,Response Type6,Response Type7,Subheading,T:,a-head line,h5,l5,secx n.n.n.n"/>
    <w:basedOn w:val="Normal"/>
    <w:uiPriority w:val="13"/>
    <w:qFormat/>
    <w:pPr>
      <w:numPr>
        <w:ilvl w:val="4"/>
        <w:numId w:val="1"/>
      </w:numPr>
      <w:spacing w:before="240"/>
      <w:outlineLvl w:val="4"/>
    </w:pPr>
  </w:style>
  <w:style w:type="paragraph" w:styleId="Heading6">
    <w:name w:val="heading 6"/>
    <w:aliases w:val="6,Contract 5th Level,H6,H61,H610,H611,H612,H613,H614,H615,H616,H617,H618,H619,H62,H621,H63,H631,H64,H641,H65,H651,H66,H661,H67,H671,H68,H681,H69,H691,Heading 6  Appendix Y &amp; Z,Heading 6(unused),ITT t6,L1 PIP,Legal Level 1.,Lev 6,PA Appendix,h6"/>
    <w:basedOn w:val="Normal"/>
    <w:uiPriority w:val="13"/>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
    <w:name w:val="Annexure"/>
    <w:basedOn w:val="Normal"/>
    <w:next w:val="BodyText1"/>
    <w:pPr>
      <w:numPr>
        <w:numId w:val="9"/>
      </w:numPr>
      <w:spacing w:before="240"/>
      <w:ind w:left="0" w:firstLine="0"/>
      <w:outlineLvl w:val="0"/>
    </w:pPr>
    <w:rPr>
      <w:b/>
      <w:sz w:val="24"/>
    </w:rPr>
  </w:style>
  <w:style w:type="paragraph" w:customStyle="1" w:styleId="AText">
    <w:name w:val="AText"/>
    <w:basedOn w:val="Normal"/>
    <w:pPr>
      <w:keepLines/>
    </w:pPr>
  </w:style>
  <w:style w:type="paragraph" w:customStyle="1" w:styleId="AuthorPageDate1">
    <w:name w:val="Author  Page #  Date1"/>
    <w:rPr>
      <w:sz w:val="24"/>
      <w:szCs w:val="24"/>
      <w:lang w:val="en-AU"/>
    </w:rPr>
  </w:style>
  <w:style w:type="paragraph" w:styleId="BodyText">
    <w:name w:val="Body Text"/>
    <w:basedOn w:val="Normal"/>
    <w:link w:val="BodyTextChar"/>
    <w:pPr>
      <w:tabs>
        <w:tab w:val="left" w:pos="1701"/>
      </w:tabs>
    </w:pPr>
  </w:style>
  <w:style w:type="paragraph" w:customStyle="1" w:styleId="BodyText1">
    <w:name w:val="Body Text 1"/>
    <w:basedOn w:val="Normal"/>
    <w:pPr>
      <w:spacing w:before="240"/>
    </w:pPr>
  </w:style>
  <w:style w:type="paragraph" w:styleId="BodyText2">
    <w:name w:val="Body Text 2"/>
    <w:basedOn w:val="Normal"/>
    <w:pPr>
      <w:spacing w:before="240"/>
      <w:ind w:left="709"/>
    </w:pPr>
  </w:style>
  <w:style w:type="paragraph" w:styleId="BodyText3">
    <w:name w:val="Body Text 3"/>
    <w:basedOn w:val="Normal"/>
    <w:pPr>
      <w:spacing w:before="240"/>
      <w:ind w:left="1418"/>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pPr>
      <w:spacing w:before="120" w:after="120"/>
    </w:pPr>
    <w:rPr>
      <w:b/>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DefaultParagraphFont1">
    <w:name w:val="Default Paragraph Font1"/>
    <w:basedOn w:val="Normal"/>
    <w:pPr>
      <w:spacing w:before="240"/>
    </w:pPr>
  </w:style>
  <w:style w:type="paragraph" w:styleId="Footer">
    <w:name w:val="footer"/>
    <w:basedOn w:val="Normal"/>
    <w:link w:val="FooterChar"/>
    <w:rPr>
      <w:sz w:val="16"/>
    </w:rPr>
  </w:style>
  <w:style w:type="paragraph" w:customStyle="1" w:styleId="Disclaimer">
    <w:name w:val="Disclaimer"/>
    <w:basedOn w:val="Footer"/>
    <w:pPr>
      <w:jc w:val="center"/>
    </w:pPr>
    <w:rPr>
      <w:rFonts w:ascii="Times New Roman" w:hAnsi="Times New Roman"/>
      <w:b/>
      <w:i/>
      <w:sz w:val="18"/>
    </w:rPr>
  </w:style>
  <w:style w:type="paragraph" w:customStyle="1" w:styleId="Fax">
    <w:name w:val="Fax"/>
    <w:basedOn w:val="Normal"/>
    <w:pPr>
      <w:tabs>
        <w:tab w:val="left" w:pos="2694"/>
      </w:tabs>
      <w:spacing w:line="360" w:lineRule="auto"/>
      <w:ind w:left="2693" w:hanging="2693"/>
    </w:pPr>
    <w:rPr>
      <w:b/>
    </w:rPr>
  </w:style>
  <w:style w:type="paragraph" w:customStyle="1" w:styleId="FaxHeader">
    <w:name w:val="FaxHeader"/>
    <w:basedOn w:val="Normal"/>
    <w:pPr>
      <w:tabs>
        <w:tab w:val="left" w:pos="2693"/>
      </w:tabs>
      <w:ind w:left="2693" w:hanging="2693"/>
    </w:pPr>
  </w:style>
  <w:style w:type="paragraph" w:styleId="Header">
    <w:name w:val="header"/>
    <w:basedOn w:val="Normal"/>
  </w:style>
  <w:style w:type="character" w:styleId="Hyperlink">
    <w:name w:val="Hyperlink"/>
    <w:basedOn w:val="DefaultParagraphFont"/>
    <w:rPr>
      <w:color w:val="0000FF"/>
      <w:u w:val="single"/>
    </w:rPr>
  </w:style>
  <w:style w:type="paragraph" w:customStyle="1" w:styleId="Item">
    <w:name w:val="Item"/>
    <w:next w:val="BodyText3"/>
    <w:pPr>
      <w:keepNext/>
      <w:numPr>
        <w:numId w:val="8"/>
      </w:numPr>
      <w:spacing w:before="240"/>
    </w:pPr>
    <w:rPr>
      <w:rFonts w:ascii="Arial" w:hAnsi="Arial"/>
      <w:b/>
      <w:lang w:val="en-AU"/>
    </w:rPr>
  </w:style>
  <w:style w:type="character" w:styleId="PageNumber">
    <w:name w:val="page number"/>
    <w:basedOn w:val="DefaultParagraphFont"/>
    <w:rPr>
      <w:sz w:val="20"/>
    </w:rPr>
  </w:style>
  <w:style w:type="paragraph" w:customStyle="1" w:styleId="Recital">
    <w:name w:val="Recital"/>
    <w:basedOn w:val="Normal"/>
    <w:pPr>
      <w:numPr>
        <w:numId w:val="5"/>
      </w:numPr>
      <w:spacing w:before="240"/>
    </w:pPr>
  </w:style>
  <w:style w:type="paragraph" w:customStyle="1" w:styleId="Schedule">
    <w:name w:val="Schedule"/>
    <w:basedOn w:val="Normal"/>
    <w:next w:val="BodyText1"/>
    <w:pPr>
      <w:keepNext/>
      <w:numPr>
        <w:numId w:val="3"/>
      </w:numPr>
      <w:spacing w:before="480"/>
      <w:ind w:left="0" w:firstLine="0"/>
      <w:outlineLvl w:val="0"/>
    </w:pPr>
    <w:rPr>
      <w:b/>
      <w:sz w:val="24"/>
    </w:rPr>
  </w:style>
  <w:style w:type="paragraph" w:styleId="Subtitle">
    <w:name w:val="Subtitle"/>
    <w:basedOn w:val="Normal"/>
    <w:next w:val="BodyText1"/>
    <w:qFormat/>
    <w:pPr>
      <w:keepNext/>
      <w:spacing w:before="480"/>
    </w:pPr>
    <w:rPr>
      <w:b/>
      <w:sz w:val="24"/>
    </w:rPr>
  </w:style>
  <w:style w:type="paragraph" w:customStyle="1" w:styleId="TableText">
    <w:name w:val="Table Text"/>
    <w:basedOn w:val="Normal"/>
    <w:pPr>
      <w:spacing w:before="60" w:after="60"/>
    </w:pPr>
  </w:style>
  <w:style w:type="paragraph" w:styleId="Title">
    <w:name w:val="Title"/>
    <w:basedOn w:val="Normal"/>
    <w:next w:val="Normal"/>
    <w:qFormat/>
    <w:pPr>
      <w:spacing w:after="360"/>
    </w:pPr>
    <w:rPr>
      <w:b/>
      <w:sz w:val="40"/>
    </w:rPr>
  </w:style>
  <w:style w:type="paragraph" w:styleId="TOC1">
    <w:name w:val="toc 1"/>
    <w:basedOn w:val="Normal"/>
    <w:next w:val="Normal"/>
    <w:semiHidden/>
    <w:pPr>
      <w:tabs>
        <w:tab w:val="right" w:leader="dot" w:pos="8789"/>
      </w:tabs>
      <w:spacing w:before="60" w:after="60"/>
      <w:ind w:left="709" w:right="425" w:hanging="709"/>
      <w:outlineLvl w:val="0"/>
    </w:pPr>
  </w:style>
  <w:style w:type="paragraph" w:styleId="TOC2">
    <w:name w:val="toc 2"/>
    <w:basedOn w:val="Normal"/>
    <w:next w:val="Normal"/>
    <w:semiHidden/>
    <w:pPr>
      <w:tabs>
        <w:tab w:val="right" w:leader="dot" w:pos="8789"/>
      </w:tabs>
      <w:spacing w:before="60" w:after="60"/>
      <w:ind w:left="1418" w:right="425" w:hanging="709"/>
      <w:outlineLvl w:val="0"/>
    </w:pPr>
  </w:style>
  <w:style w:type="paragraph" w:styleId="TOC3">
    <w:name w:val="toc 3"/>
    <w:basedOn w:val="Normal"/>
    <w:next w:val="Normal"/>
    <w:semiHidden/>
    <w:pPr>
      <w:tabs>
        <w:tab w:val="right" w:pos="7938"/>
      </w:tabs>
      <w:spacing w:before="60" w:after="60"/>
      <w:ind w:left="442"/>
    </w:pPr>
  </w:style>
  <w:style w:type="paragraph" w:styleId="TOC4">
    <w:name w:val="toc 4"/>
    <w:basedOn w:val="Normal"/>
    <w:next w:val="Normal"/>
    <w:semiHidden/>
    <w:pPr>
      <w:tabs>
        <w:tab w:val="right" w:leader="dot" w:pos="8789"/>
      </w:tabs>
      <w:spacing w:before="60" w:after="60"/>
      <w:ind w:left="709" w:right="425" w:hanging="709"/>
    </w:pPr>
  </w:style>
  <w:style w:type="paragraph" w:styleId="TOC5">
    <w:name w:val="toc 5"/>
    <w:basedOn w:val="Normal"/>
    <w:next w:val="Normal"/>
    <w:semiHidden/>
    <w:pPr>
      <w:tabs>
        <w:tab w:val="right" w:leader="dot" w:pos="8789"/>
      </w:tabs>
      <w:spacing w:before="60" w:after="60"/>
      <w:ind w:left="709" w:right="425" w:hanging="709"/>
    </w:pPr>
  </w:style>
  <w:style w:type="paragraph" w:styleId="TOC6">
    <w:name w:val="toc 6"/>
    <w:basedOn w:val="Normal"/>
    <w:next w:val="Normal"/>
    <w:semiHidden/>
    <w:pPr>
      <w:tabs>
        <w:tab w:val="right" w:leader="dot" w:pos="8789"/>
      </w:tabs>
      <w:spacing w:before="60" w:after="60"/>
      <w:ind w:left="709" w:right="425" w:hanging="709"/>
    </w:pPr>
  </w:style>
  <w:style w:type="paragraph" w:styleId="TOC7">
    <w:name w:val="toc 7"/>
    <w:basedOn w:val="Normal"/>
    <w:next w:val="Normal"/>
    <w:semiHidden/>
    <w:pPr>
      <w:tabs>
        <w:tab w:val="right" w:pos="8789"/>
      </w:tabs>
      <w:spacing w:before="60" w:after="60"/>
      <w:ind w:left="709" w:right="425" w:hanging="709"/>
    </w:pPr>
  </w:style>
  <w:style w:type="paragraph" w:styleId="TOC8">
    <w:name w:val="toc 8"/>
    <w:basedOn w:val="Normal"/>
    <w:next w:val="Normal"/>
    <w:semiHidden/>
    <w:pPr>
      <w:tabs>
        <w:tab w:val="right" w:leader="dot" w:pos="8789"/>
      </w:tabs>
      <w:spacing w:before="60" w:after="60"/>
      <w:ind w:left="709" w:right="425" w:hanging="709"/>
      <w:outlineLvl w:val="0"/>
    </w:pPr>
  </w:style>
  <w:style w:type="paragraph" w:styleId="TOC9">
    <w:name w:val="toc 9"/>
    <w:basedOn w:val="Normal"/>
    <w:next w:val="Normal"/>
    <w:semiHidden/>
    <w:pPr>
      <w:tabs>
        <w:tab w:val="right" w:leader="dot" w:pos="8789"/>
      </w:tabs>
      <w:spacing w:before="60" w:after="60"/>
      <w:ind w:left="709" w:right="425" w:hanging="709"/>
      <w:outlineLvl w:val="0"/>
    </w:pPr>
  </w:style>
  <w:style w:type="character" w:customStyle="1" w:styleId="BodyTextChar">
    <w:name w:val="Body Text Char"/>
    <w:basedOn w:val="DefaultParagraphFont"/>
    <w:link w:val="BodyText"/>
    <w:rPr>
      <w:rFonts w:ascii="Arial" w:hAnsi="Arial"/>
      <w:lang w:val="en-AU"/>
    </w:rPr>
  </w:style>
  <w:style w:type="paragraph" w:styleId="FootnoteText">
    <w:name w:val="footnote text"/>
    <w:basedOn w:val="Normal"/>
    <w:link w:val="FootnoteTextChar"/>
    <w:rPr>
      <w:sz w:val="18"/>
    </w:rPr>
  </w:style>
  <w:style w:type="character" w:customStyle="1" w:styleId="FootnoteTextChar">
    <w:name w:val="Footnote Text Char"/>
    <w:basedOn w:val="DefaultParagraphFont"/>
    <w:link w:val="FootnoteText"/>
    <w:rPr>
      <w:rFonts w:ascii="Arial" w:hAnsi="Arial"/>
      <w:sz w:val="18"/>
      <w:lang w:val="en-AU"/>
    </w:rPr>
  </w:style>
  <w:style w:type="paragraph" w:customStyle="1" w:styleId="NRFABullet1">
    <w:name w:val="NRFA Bullet 1"/>
    <w:basedOn w:val="BodyText2"/>
    <w:qFormat/>
    <w:pPr>
      <w:numPr>
        <w:numId w:val="2"/>
      </w:numPr>
      <w:tabs>
        <w:tab w:val="left" w:pos="709"/>
      </w:tabs>
      <w:outlineLvl w:val="0"/>
    </w:pPr>
  </w:style>
  <w:style w:type="paragraph" w:customStyle="1" w:styleId="NRFABullet2">
    <w:name w:val="NRFA Bullet 2"/>
    <w:basedOn w:val="NRFABullet1"/>
    <w:qFormat/>
    <w:pPr>
      <w:numPr>
        <w:ilvl w:val="1"/>
      </w:numPr>
      <w:outlineLvl w:val="1"/>
    </w:pPr>
  </w:style>
  <w:style w:type="table" w:customStyle="1" w:styleId="NRFATable">
    <w:name w:val="NRFA Table"/>
    <w:basedOn w:val="TableNormal"/>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rPr>
        <w:tblHeader/>
      </w:trPr>
      <w:tcPr>
        <w:shd w:val="clear" w:color="auto" w:fill="E6E6E6"/>
      </w:tcPr>
    </w:tblStylePr>
  </w:style>
  <w:style w:type="paragraph" w:customStyle="1" w:styleId="ScheduleNumbering1">
    <w:name w:val="Schedule Numbering 1"/>
    <w:basedOn w:val="Normal"/>
    <w:next w:val="ScheduleNumbering2"/>
    <w:pPr>
      <w:keepNext/>
      <w:widowControl w:val="0"/>
      <w:numPr>
        <w:numId w:val="11"/>
      </w:numPr>
      <w:spacing w:before="240"/>
      <w:outlineLvl w:val="0"/>
    </w:pPr>
    <w:rPr>
      <w:b/>
    </w:rPr>
  </w:style>
  <w:style w:type="paragraph" w:customStyle="1" w:styleId="ScheduleNumbering2">
    <w:name w:val="Schedule Numbering 2"/>
    <w:basedOn w:val="Normal"/>
    <w:pPr>
      <w:numPr>
        <w:ilvl w:val="1"/>
        <w:numId w:val="11"/>
      </w:numPr>
      <w:spacing w:before="240"/>
      <w:outlineLvl w:val="1"/>
    </w:pPr>
  </w:style>
  <w:style w:type="paragraph" w:customStyle="1" w:styleId="ScheduleNumbering3">
    <w:name w:val="Schedule Numbering 3"/>
    <w:basedOn w:val="Normal"/>
    <w:pPr>
      <w:numPr>
        <w:ilvl w:val="2"/>
        <w:numId w:val="11"/>
      </w:numPr>
      <w:spacing w:before="240"/>
      <w:outlineLvl w:val="2"/>
    </w:pPr>
  </w:style>
  <w:style w:type="paragraph" w:customStyle="1" w:styleId="ScheduleNumbering4">
    <w:name w:val="Schedule Numbering 4"/>
    <w:basedOn w:val="Normal"/>
    <w:pPr>
      <w:numPr>
        <w:ilvl w:val="3"/>
        <w:numId w:val="11"/>
      </w:numPr>
      <w:spacing w:before="240"/>
      <w:outlineLvl w:val="3"/>
    </w:pPr>
  </w:style>
  <w:style w:type="paragraph" w:customStyle="1" w:styleId="ScheduleNumbering5">
    <w:name w:val="Schedule Numbering 5"/>
    <w:basedOn w:val="Normal"/>
    <w:pPr>
      <w:numPr>
        <w:ilvl w:val="4"/>
        <w:numId w:val="11"/>
      </w:numPr>
      <w:spacing w:before="240"/>
      <w:outlineLvl w:val="4"/>
    </w:pPr>
  </w:style>
  <w:style w:type="character" w:customStyle="1" w:styleId="FooterChar">
    <w:name w:val="Footer Char"/>
    <w:link w:val="Footer"/>
    <w:rPr>
      <w:rFonts w:ascii="Arial" w:hAnsi="Arial"/>
      <w:sz w:val="16"/>
      <w:lang w:val="en-AU"/>
    </w:rPr>
  </w:style>
  <w:style w:type="paragraph" w:customStyle="1" w:styleId="BilingualHeading1">
    <w:name w:val="Bilingual Heading 1"/>
    <w:basedOn w:val="Normal"/>
    <w:next w:val="BilingualHeading2"/>
    <w:unhideWhenUsed/>
    <w:pPr>
      <w:keepNext/>
      <w:numPr>
        <w:numId w:val="4"/>
      </w:numPr>
      <w:spacing w:before="360"/>
    </w:pPr>
    <w:rPr>
      <w:b/>
      <w:sz w:val="24"/>
    </w:rPr>
  </w:style>
  <w:style w:type="paragraph" w:customStyle="1" w:styleId="BilingualHeading2">
    <w:name w:val="Bilingual Heading 2"/>
    <w:basedOn w:val="Normal"/>
    <w:next w:val="BodyText2"/>
    <w:unhideWhenUsed/>
    <w:pPr>
      <w:numPr>
        <w:ilvl w:val="1"/>
        <w:numId w:val="4"/>
      </w:numPr>
      <w:spacing w:before="240"/>
    </w:pPr>
  </w:style>
  <w:style w:type="paragraph" w:customStyle="1" w:styleId="BilingualHeading3">
    <w:name w:val="Bilingual Heading 3"/>
    <w:basedOn w:val="Normal"/>
    <w:unhideWhenUsed/>
    <w:pPr>
      <w:numPr>
        <w:ilvl w:val="2"/>
        <w:numId w:val="4"/>
      </w:numPr>
      <w:spacing w:before="240"/>
    </w:pPr>
  </w:style>
  <w:style w:type="paragraph" w:customStyle="1" w:styleId="BilingualHeading4">
    <w:name w:val="Bilingual Heading 4"/>
    <w:basedOn w:val="Normal"/>
    <w:unhideWhenUsed/>
    <w:pPr>
      <w:numPr>
        <w:ilvl w:val="3"/>
        <w:numId w:val="4"/>
      </w:numPr>
      <w:spacing w:before="240"/>
    </w:pPr>
  </w:style>
  <w:style w:type="paragraph" w:customStyle="1" w:styleId="BilingualHeading5">
    <w:name w:val="Bilingual Heading 5"/>
    <w:basedOn w:val="Normal"/>
    <w:unhideWhenUsed/>
    <w:pPr>
      <w:numPr>
        <w:ilvl w:val="4"/>
        <w:numId w:val="4"/>
      </w:numPr>
      <w:spacing w:before="240"/>
    </w:pPr>
  </w:style>
  <w:style w:type="paragraph" w:customStyle="1" w:styleId="BilingualHeading6">
    <w:name w:val="Bilingual Heading 6"/>
    <w:basedOn w:val="Normal"/>
    <w:unhideWhenUsed/>
    <w:pPr>
      <w:numPr>
        <w:ilvl w:val="5"/>
        <w:numId w:val="4"/>
      </w:numPr>
      <w:spacing w:before="240"/>
    </w:pPr>
  </w:style>
  <w:style w:type="table" w:customStyle="1" w:styleId="BilingualTable">
    <w:name w:val="Bilingual Table"/>
    <w:basedOn w:val="TableNormal"/>
    <w:uiPriority w:val="99"/>
    <w:rPr>
      <w:rFonts w:ascii="Arial" w:hAnsi="Arial"/>
    </w:rPr>
    <w:tblPr/>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ingualRecital">
    <w:name w:val="Bilingual Recital"/>
    <w:basedOn w:val="Normal"/>
    <w:pPr>
      <w:numPr>
        <w:numId w:val="6"/>
      </w:numPr>
      <w:spacing w:before="240"/>
    </w:pPr>
  </w:style>
  <w:style w:type="paragraph" w:customStyle="1" w:styleId="BilingualSchedule">
    <w:name w:val="Bilingual Schedule"/>
    <w:basedOn w:val="Normal"/>
    <w:next w:val="BodyText1"/>
    <w:pPr>
      <w:keepNext/>
      <w:numPr>
        <w:numId w:val="7"/>
      </w:numPr>
      <w:spacing w:before="480"/>
      <w:outlineLvl w:val="0"/>
    </w:pPr>
    <w:rPr>
      <w:b/>
      <w:sz w:val="24"/>
    </w:rPr>
  </w:style>
  <w:style w:type="paragraph" w:customStyle="1" w:styleId="BilingualItem">
    <w:name w:val="Bilingual Item"/>
    <w:next w:val="BodyText3"/>
    <w:pPr>
      <w:keepNext/>
      <w:numPr>
        <w:numId w:val="13"/>
      </w:numPr>
      <w:spacing w:before="240"/>
    </w:pPr>
    <w:rPr>
      <w:rFonts w:ascii="Arial" w:hAnsi="Arial"/>
      <w:b/>
      <w:lang w:val="en-AU"/>
    </w:rPr>
  </w:style>
  <w:style w:type="paragraph" w:customStyle="1" w:styleId="BilingualAnnexure">
    <w:name w:val="Bilingual Annexure"/>
    <w:basedOn w:val="Normal"/>
    <w:next w:val="BodyText1"/>
    <w:pPr>
      <w:numPr>
        <w:numId w:val="12"/>
      </w:numPr>
      <w:spacing w:before="240"/>
      <w:outlineLvl w:val="0"/>
    </w:pPr>
    <w:rPr>
      <w:b/>
      <w:sz w:val="24"/>
    </w:rPr>
  </w:style>
  <w:style w:type="paragraph" w:customStyle="1" w:styleId="BilingualScheduleNumbering1">
    <w:name w:val="Bilingual Schedule Numbering 1"/>
    <w:basedOn w:val="Normal"/>
    <w:next w:val="Normal"/>
    <w:pPr>
      <w:keepNext/>
      <w:widowControl w:val="0"/>
      <w:numPr>
        <w:numId w:val="10"/>
      </w:numPr>
      <w:spacing w:before="240"/>
      <w:outlineLvl w:val="0"/>
    </w:pPr>
    <w:rPr>
      <w:b/>
    </w:rPr>
  </w:style>
  <w:style w:type="paragraph" w:customStyle="1" w:styleId="BilingualScheduleNumbering2">
    <w:name w:val="Bilingual Schedule Numbering 2"/>
    <w:basedOn w:val="Normal"/>
    <w:pPr>
      <w:numPr>
        <w:ilvl w:val="1"/>
        <w:numId w:val="10"/>
      </w:numPr>
      <w:spacing w:before="240"/>
      <w:outlineLvl w:val="1"/>
    </w:pPr>
  </w:style>
  <w:style w:type="paragraph" w:customStyle="1" w:styleId="BilingualScheduleNumbering3">
    <w:name w:val="Bilingual Schedule Numbering 3"/>
    <w:basedOn w:val="Normal"/>
    <w:pPr>
      <w:numPr>
        <w:ilvl w:val="2"/>
        <w:numId w:val="10"/>
      </w:numPr>
      <w:spacing w:before="240"/>
      <w:outlineLvl w:val="2"/>
    </w:pPr>
  </w:style>
  <w:style w:type="paragraph" w:customStyle="1" w:styleId="BilingualScheduleNumbering4">
    <w:name w:val="Bilingual Schedule Numbering 4"/>
    <w:basedOn w:val="Normal"/>
    <w:pPr>
      <w:numPr>
        <w:ilvl w:val="3"/>
        <w:numId w:val="10"/>
      </w:numPr>
      <w:spacing w:before="240"/>
      <w:outlineLvl w:val="3"/>
    </w:pPr>
  </w:style>
  <w:style w:type="paragraph" w:customStyle="1" w:styleId="BilingualScheduleNumbering5">
    <w:name w:val="Bilingual Schedule Numbering 5"/>
    <w:basedOn w:val="Normal"/>
    <w:pPr>
      <w:numPr>
        <w:ilvl w:val="4"/>
        <w:numId w:val="10"/>
      </w:numPr>
      <w:spacing w:before="240"/>
      <w:outlineLvl w:val="4"/>
    </w:pPr>
  </w:style>
  <w:style w:type="paragraph" w:styleId="NoSpacing">
    <w:name w:val="No Spacing"/>
    <w:uiPriority w:val="1"/>
    <w:qFormat/>
    <w:rPr>
      <w:rFonts w:ascii="Arial" w:hAnsi="Arial"/>
      <w:lang w:val="en-AU"/>
    </w:rPr>
  </w:style>
  <w:style w:type="character" w:styleId="FootnoteReference">
    <w:name w:val="footnote reference"/>
    <w:basedOn w:val="DefaultParagraphFont"/>
    <w:semiHidden/>
    <w:unhideWhenUsed/>
    <w:rPr>
      <w:vertAlign w:val="superscript"/>
    </w:rPr>
  </w:style>
  <w:style w:type="paragraph" w:customStyle="1" w:styleId="Style2">
    <w:name w:val="Style 2"/>
    <w:basedOn w:val="Normal"/>
    <w:pPr>
      <w:numPr>
        <w:numId w:val="38"/>
      </w:numPr>
      <w:spacing w:before="240"/>
    </w:p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rPr>
  </w:style>
  <w:style w:type="paragraph" w:styleId="Revision">
    <w:name w:val="Revision"/>
    <w:hidden/>
    <w:uiPriority w:val="99"/>
    <w:semiHidden/>
    <w:rPr>
      <w:rFonts w:ascii="Arial" w:hAnsi="Arial"/>
      <w:lang w:val="en-AU"/>
    </w:rPr>
  </w:style>
  <w:style w:type="character" w:styleId="CommentReference">
    <w:name w:val="annotation reference"/>
    <w:basedOn w:val="DefaultParagraphFont"/>
    <w:semiHidden/>
    <w:unhideWhenUsed/>
    <w:rsid w:val="006151DF"/>
    <w:rPr>
      <w:sz w:val="16"/>
      <w:szCs w:val="16"/>
    </w:rPr>
  </w:style>
  <w:style w:type="paragraph" w:styleId="CommentText">
    <w:name w:val="annotation text"/>
    <w:basedOn w:val="Normal"/>
    <w:link w:val="CommentTextChar"/>
    <w:semiHidden/>
    <w:unhideWhenUsed/>
    <w:rsid w:val="006151DF"/>
  </w:style>
  <w:style w:type="character" w:customStyle="1" w:styleId="CommentTextChar">
    <w:name w:val="Comment Text Char"/>
    <w:basedOn w:val="DefaultParagraphFont"/>
    <w:link w:val="CommentText"/>
    <w:semiHidden/>
    <w:rsid w:val="006151DF"/>
    <w:rPr>
      <w:rFonts w:ascii="Arial" w:hAnsi="Arial"/>
      <w:lang w:val="en-AU"/>
    </w:rPr>
  </w:style>
  <w:style w:type="paragraph" w:styleId="CommentSubject">
    <w:name w:val="annotation subject"/>
    <w:basedOn w:val="CommentText"/>
    <w:next w:val="CommentText"/>
    <w:link w:val="CommentSubjectChar"/>
    <w:semiHidden/>
    <w:unhideWhenUsed/>
    <w:rsid w:val="006151DF"/>
    <w:rPr>
      <w:b/>
      <w:bCs/>
    </w:rPr>
  </w:style>
  <w:style w:type="character" w:customStyle="1" w:styleId="CommentSubjectChar">
    <w:name w:val="Comment Subject Char"/>
    <w:basedOn w:val="CommentTextChar"/>
    <w:link w:val="CommentSubject"/>
    <w:semiHidden/>
    <w:rsid w:val="006151DF"/>
    <w:rPr>
      <w:rFonts w:ascii="Arial" w:hAnsi="Arial"/>
      <w:b/>
      <w:bCs/>
      <w:lang w:val="en-AU"/>
    </w:rPr>
  </w:style>
  <w:style w:type="character" w:customStyle="1" w:styleId="Heading3Char">
    <w:name w:val="Heading 3 Char"/>
    <w:aliases w:val="(Alt+3) Char,3 Char,H3 Char,KJL:2nd Level Char,Level 1 - 1 Char,Level 1 - 11 Char,Minor Char,Minor1 Char,Org Heading 1 Char,PA Minor Section Char,PARA3 Char,PARA31 Char,Sub-sub section Title Char,h3 Char,ni3 Char,numbered indent 3 Char"/>
    <w:basedOn w:val="DefaultParagraphFont"/>
    <w:link w:val="Heading3"/>
    <w:uiPriority w:val="13"/>
    <w:rsid w:val="00473F7A"/>
    <w:rPr>
      <w:rFonts w:ascii="Arial" w:hAnsi="Arial"/>
      <w:lang w:val="en-AU"/>
    </w:rPr>
  </w:style>
  <w:style w:type="character" w:customStyle="1" w:styleId="Heading2Char">
    <w:name w:val="Heading 2 Char"/>
    <w:aliases w:val="1.Seite Char,2 Char,Chapter Char,H2 Char,Heading 2 Hidden Char,KJL:1st Level Char,Lev 2 Char,Major Char,PA Major Section Char,Reset numbering Char,Reset numbering1 Char,Sub Heading Char,h2 Char,h21 Char,ni2 Char,numbered indent 2 Char"/>
    <w:basedOn w:val="DefaultParagraphFont"/>
    <w:link w:val="Heading2"/>
    <w:uiPriority w:val="9"/>
    <w:rsid w:val="00473F7A"/>
    <w:rPr>
      <w:rFonts w:ascii="Arial" w:hAnsi="Arial"/>
      <w:lang w:val="en-AU"/>
    </w:rPr>
  </w:style>
  <w:style w:type="character" w:customStyle="1" w:styleId="Heading4Char">
    <w:name w:val="Heading 4 Char"/>
    <w:aliases w:val="(Alt+4) Char,4 Char,Bullet 1 Char,E4 Char,H4 Char,Head4 Char,Lev 4 Char,Level 2 - a Char,PA Micro Section Char,Paragraph Title Char,Sub sub heading Char,Sub-Minor Char,Te Char,a. Char,b1 Char,h4 Char,h:4 Char,list 2 Char,secx n.n.n Char"/>
    <w:link w:val="Heading4"/>
    <w:uiPriority w:val="13"/>
    <w:rsid w:val="00D24B42"/>
    <w:rPr>
      <w:rFonts w:ascii="Arial" w:hAnsi="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20(x86)\Norton%20Rose\NR%20OfficeAddins\Templates\Doc.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Doc.dotm</Template>
  <TotalTime>0</TotalTime>
  <Pages>6</Pages>
  <Words>2126</Words>
  <Characters>10919</Characters>
  <Application>Microsoft Office Word</Application>
  <DocSecurity>0</DocSecurity>
  <Lines>227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DocRef">
    <vt:lpwstr>AUSTRALIA\RBOX\656394009.09</vt:lpwstr>
  </property>
  <property fmtid="{D5CDD505-2E9C-101B-9397-08002B2CF9AE}" pid="3" name="DMSAuthorID">
    <vt:lpwstr>RBOX</vt:lpwstr>
  </property>
  <property fmtid="{D5CDD505-2E9C-101B-9397-08002B2CF9AE}" pid="4" name="DMSCountry">
    <vt:lpwstr>AUSTRALIA</vt:lpwstr>
  </property>
  <property fmtid="{D5CDD505-2E9C-101B-9397-08002B2CF9AE}" pid="5" name="DocID">
    <vt:lpwstr>656394009.09</vt:lpwstr>
  </property>
</Properties>
</file>