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7.0.0 -->
  <w:body>
    <w:p w:rsidR="008970DE" w:rsidRPr="00BB2874">
      <w:pPr>
        <w:pBdr>
          <w:bottom w:val="single" w:sz="12" w:space="1" w:color="auto"/>
        </w:pBdr>
        <w:jc w:val="center"/>
        <w:rPr>
          <w:rFonts w:cs="Arial"/>
          <w:b/>
          <w:color w:val="auto"/>
          <w:sz w:val="22"/>
          <w:szCs w:val="22"/>
          <w:shd w:val="clear" w:color="auto" w:fill="auto"/>
        </w:rPr>
      </w:pPr>
      <w:r w:rsidRPr="00BB2874">
        <w:rPr>
          <w:rFonts w:cs="Arial"/>
          <w:b/>
          <w:sz w:val="22"/>
          <w:szCs w:val="22"/>
        </w:rPr>
        <w:t>Scheme Summary</w:t>
      </w:r>
    </w:p>
    <w:p w:rsidR="008970DE" w:rsidRPr="00BB2874">
      <w:pPr>
        <w:pBdr>
          <w:bottom w:val="single" w:sz="12" w:space="1" w:color="auto"/>
        </w:pBdr>
        <w:jc w:val="center"/>
        <w:rPr>
          <w:rFonts w:cs="Arial"/>
          <w:b/>
          <w:color w:val="auto"/>
          <w:sz w:val="22"/>
          <w:szCs w:val="22"/>
          <w:shd w:val="clear" w:color="auto" w:fill="auto"/>
        </w:rPr>
      </w:pPr>
    </w:p>
    <w:p w:rsidR="008970DE" w:rsidRPr="00BB2874">
      <w:pPr>
        <w:rPr>
          <w:rFonts w:cs="Arial"/>
          <w:color w:val="auto"/>
          <w:sz w:val="22"/>
          <w:szCs w:val="22"/>
          <w:shd w:val="clear" w:color="auto" w:fill="auto"/>
        </w:rPr>
      </w:pPr>
    </w:p>
    <w:p w:rsidR="008970DE" w:rsidRPr="00BB2874" w:rsidP="00033873">
      <w:pPr>
        <w:pBdr>
          <w:bottom w:val="single" w:sz="12" w:space="1" w:color="auto"/>
        </w:pBdr>
        <w:autoSpaceDE w:val="0"/>
        <w:autoSpaceDN w:val="0"/>
        <w:adjustRightInd w:val="0"/>
        <w:rPr>
          <w:rFonts w:cs="Arial"/>
          <w:b/>
          <w:color w:val="auto"/>
          <w:sz w:val="22"/>
          <w:szCs w:val="22"/>
          <w:shd w:val="clear" w:color="auto" w:fill="auto"/>
        </w:rPr>
      </w:pPr>
      <w:r w:rsidRPr="00BB2874">
        <w:rPr>
          <w:rFonts w:cs="Arial"/>
          <w:b/>
          <w:sz w:val="22"/>
          <w:szCs w:val="22"/>
        </w:rPr>
        <w:t xml:space="preserve">This document provides a summary of a scheme under Division </w:t>
      </w:r>
      <w:r w:rsidRPr="00BB2874">
        <w:rPr>
          <w:rFonts w:cs="Arial"/>
          <w:b/>
          <w:sz w:val="22"/>
          <w:szCs w:val="22"/>
        </w:rPr>
        <w:t>3A</w:t>
      </w:r>
      <w:r w:rsidRPr="00BB2874">
        <w:rPr>
          <w:rFonts w:cs="Arial"/>
          <w:b/>
          <w:sz w:val="22"/>
          <w:szCs w:val="22"/>
        </w:rPr>
        <w:t xml:space="preserve"> of Part III of the </w:t>
      </w:r>
      <w:r w:rsidRPr="00BB2874">
        <w:rPr>
          <w:rFonts w:cs="Arial"/>
          <w:b/>
          <w:i/>
          <w:sz w:val="22"/>
          <w:szCs w:val="22"/>
        </w:rPr>
        <w:t>Insurance Act 1973</w:t>
      </w:r>
      <w:r w:rsidRPr="00BB2874">
        <w:rPr>
          <w:rFonts w:cs="Arial"/>
          <w:b/>
          <w:sz w:val="22"/>
          <w:szCs w:val="22"/>
        </w:rPr>
        <w:t xml:space="preserve"> (</w:t>
      </w:r>
      <w:r w:rsidRPr="00BB2874">
        <w:rPr>
          <w:rFonts w:cs="Arial"/>
          <w:b/>
          <w:sz w:val="22"/>
          <w:szCs w:val="22"/>
        </w:rPr>
        <w:t>Cth</w:t>
      </w:r>
      <w:r w:rsidRPr="00BB2874">
        <w:rPr>
          <w:rFonts w:cs="Arial"/>
          <w:b/>
          <w:sz w:val="22"/>
          <w:szCs w:val="22"/>
        </w:rPr>
        <w:t xml:space="preserve">) for the transfer of </w:t>
      </w:r>
      <w:r w:rsidRPr="00BB2874" w:rsidR="00A93FC2">
        <w:rPr>
          <w:rFonts w:cs="Arial"/>
          <w:b/>
          <w:sz w:val="22"/>
          <w:szCs w:val="22"/>
        </w:rPr>
        <w:t xml:space="preserve">part of </w:t>
      </w:r>
      <w:r w:rsidRPr="00BB2874">
        <w:rPr>
          <w:rFonts w:cs="Arial"/>
          <w:b/>
          <w:sz w:val="22"/>
          <w:szCs w:val="22"/>
        </w:rPr>
        <w:t xml:space="preserve">the insurance business of </w:t>
      </w:r>
      <w:r w:rsidRPr="00BB2874" w:rsidR="00C40C41">
        <w:rPr>
          <w:rFonts w:cs="Arial"/>
          <w:b/>
          <w:sz w:val="22"/>
          <w:szCs w:val="22"/>
        </w:rPr>
        <w:t xml:space="preserve">the Australian branch of </w:t>
      </w:r>
      <w:r w:rsidRPr="00BB2874" w:rsidR="00033873">
        <w:rPr>
          <w:rFonts w:cs="Arial"/>
          <w:b/>
          <w:sz w:val="22"/>
          <w:szCs w:val="22"/>
        </w:rPr>
        <w:t>Great Lakes Insurance SE</w:t>
      </w:r>
      <w:r w:rsidRPr="00BB2874">
        <w:rPr>
          <w:rFonts w:cs="Arial"/>
          <w:b/>
          <w:sz w:val="22"/>
          <w:szCs w:val="22"/>
        </w:rPr>
        <w:t xml:space="preserve"> to </w:t>
      </w:r>
      <w:r w:rsidRPr="00BB2874" w:rsidR="00C7080B">
        <w:rPr>
          <w:rFonts w:cs="Arial"/>
          <w:b/>
          <w:sz w:val="22"/>
          <w:szCs w:val="22"/>
        </w:rPr>
        <w:t xml:space="preserve">Gordian </w:t>
      </w:r>
      <w:r w:rsidRPr="00BB2874" w:rsidR="00C7080B">
        <w:rPr>
          <w:rFonts w:cs="Arial"/>
          <w:b/>
          <w:sz w:val="22"/>
          <w:szCs w:val="22"/>
        </w:rPr>
        <w:t>Run</w:t>
      </w:r>
      <w:r w:rsidRPr="00BB2874" w:rsidR="002A1507">
        <w:rPr>
          <w:rFonts w:cs="Arial"/>
          <w:b/>
          <w:sz w:val="22"/>
          <w:szCs w:val="22"/>
        </w:rPr>
        <w:t>O</w:t>
      </w:r>
      <w:r w:rsidRPr="00BB2874" w:rsidR="00C7080B">
        <w:rPr>
          <w:rFonts w:cs="Arial"/>
          <w:b/>
          <w:sz w:val="22"/>
          <w:szCs w:val="22"/>
        </w:rPr>
        <w:t>ff</w:t>
      </w:r>
      <w:r w:rsidRPr="00BB2874" w:rsidR="00C7080B">
        <w:rPr>
          <w:rFonts w:cs="Arial"/>
          <w:b/>
          <w:sz w:val="22"/>
          <w:szCs w:val="22"/>
        </w:rPr>
        <w:t xml:space="preserve"> Limited</w:t>
      </w:r>
    </w:p>
    <w:p w:rsidR="008970DE" w:rsidRPr="00BB2874">
      <w:pPr>
        <w:pBdr>
          <w:bottom w:val="single" w:sz="12" w:space="1" w:color="auto"/>
        </w:pBdr>
        <w:autoSpaceDE w:val="0"/>
        <w:autoSpaceDN w:val="0"/>
        <w:adjustRightInd w:val="0"/>
        <w:rPr>
          <w:rFonts w:cs="Arial"/>
          <w:color w:val="auto"/>
          <w:sz w:val="22"/>
          <w:szCs w:val="22"/>
          <w:shd w:val="clear" w:color="auto" w:fill="auto"/>
        </w:rPr>
      </w:pPr>
    </w:p>
    <w:p w:rsidR="008970DE" w:rsidRPr="00BB2874">
      <w:pPr>
        <w:autoSpaceDE w:val="0"/>
        <w:autoSpaceDN w:val="0"/>
        <w:adjustRightInd w:val="0"/>
        <w:rPr>
          <w:rFonts w:cs="Arial"/>
          <w:color w:val="auto"/>
          <w:sz w:val="22"/>
          <w:szCs w:val="22"/>
          <w:shd w:val="clear" w:color="auto" w:fill="auto"/>
        </w:rPr>
      </w:pPr>
    </w:p>
    <w:p w:rsidR="008970DE" w:rsidRPr="00BB2874" w:rsidP="008E346D">
      <w:pPr>
        <w:pStyle w:val="BodyText1"/>
        <w:rPr>
          <w:rFonts w:cs="Arial"/>
          <w:color w:val="auto"/>
          <w:sz w:val="22"/>
          <w:szCs w:val="22"/>
          <w:shd w:val="clear" w:color="auto" w:fill="auto"/>
        </w:rPr>
      </w:pPr>
      <w:r w:rsidRPr="00BB2874">
        <w:rPr>
          <w:rFonts w:cs="Arial"/>
          <w:sz w:val="22"/>
          <w:szCs w:val="22"/>
        </w:rPr>
        <w:t>This information is provided to you on the basis that you are a policyholder of</w:t>
      </w:r>
      <w:r w:rsidRPr="00BB2874" w:rsidR="00C40C41">
        <w:rPr>
          <w:rFonts w:cs="Arial"/>
          <w:sz w:val="22"/>
          <w:szCs w:val="22"/>
        </w:rPr>
        <w:t xml:space="preserve"> the Australian branch of</w:t>
      </w:r>
      <w:r w:rsidRPr="00BB2874">
        <w:rPr>
          <w:rFonts w:cs="Arial"/>
          <w:sz w:val="22"/>
          <w:szCs w:val="22"/>
        </w:rPr>
        <w:t xml:space="preserve"> </w:t>
      </w:r>
      <w:r w:rsidRPr="00BB2874" w:rsidR="00033873">
        <w:rPr>
          <w:rFonts w:cs="Arial"/>
          <w:sz w:val="22"/>
          <w:szCs w:val="22"/>
        </w:rPr>
        <w:t>Great Lakes Insurance SE</w:t>
      </w:r>
      <w:r w:rsidRPr="00BB2874" w:rsidR="00C40C41">
        <w:rPr>
          <w:rFonts w:cs="Arial"/>
          <w:sz w:val="22"/>
          <w:szCs w:val="22"/>
        </w:rPr>
        <w:t xml:space="preserve"> </w:t>
      </w:r>
      <w:r w:rsidRPr="00BB2874" w:rsidR="00033873">
        <w:rPr>
          <w:rFonts w:cs="Arial"/>
          <w:sz w:val="22"/>
          <w:szCs w:val="22"/>
        </w:rPr>
        <w:t xml:space="preserve">ABN 18 964 580 576 </w:t>
      </w:r>
      <w:r w:rsidRPr="00BB2874">
        <w:rPr>
          <w:rFonts w:cs="Arial"/>
          <w:sz w:val="22"/>
          <w:szCs w:val="22"/>
        </w:rPr>
        <w:t xml:space="preserve">(referred to in this document as </w:t>
      </w:r>
      <w:r w:rsidRPr="00BB2874" w:rsidR="00033873">
        <w:rPr>
          <w:rFonts w:cs="Arial"/>
          <w:b/>
          <w:sz w:val="22"/>
          <w:szCs w:val="22"/>
        </w:rPr>
        <w:t>GLA</w:t>
      </w:r>
      <w:r w:rsidRPr="00BB2874">
        <w:rPr>
          <w:rFonts w:cs="Arial"/>
          <w:sz w:val="22"/>
          <w:szCs w:val="22"/>
        </w:rPr>
        <w:t xml:space="preserve">).  </w:t>
      </w:r>
      <w:r w:rsidRPr="00BB2874" w:rsidR="00033873">
        <w:rPr>
          <w:rFonts w:cs="Arial"/>
          <w:sz w:val="22"/>
          <w:szCs w:val="22"/>
        </w:rPr>
        <w:t>GLA</w:t>
      </w:r>
      <w:r w:rsidRPr="00BB2874">
        <w:rPr>
          <w:rFonts w:cs="Arial"/>
          <w:sz w:val="22"/>
          <w:szCs w:val="22"/>
        </w:rPr>
        <w:t xml:space="preserve"> is applying to the Federal Court of Australia in respect to the proposed transfer of </w:t>
      </w:r>
      <w:r w:rsidRPr="00BB2874" w:rsidR="00A93FC2">
        <w:rPr>
          <w:rFonts w:cs="Arial"/>
          <w:sz w:val="22"/>
          <w:szCs w:val="22"/>
        </w:rPr>
        <w:t xml:space="preserve">part of </w:t>
      </w:r>
      <w:r w:rsidRPr="00BB2874">
        <w:rPr>
          <w:rFonts w:cs="Arial"/>
          <w:sz w:val="22"/>
          <w:szCs w:val="22"/>
        </w:rPr>
        <w:t>its insurance business</w:t>
      </w:r>
      <w:r w:rsidRPr="00BB2874" w:rsidR="00A93FC2">
        <w:rPr>
          <w:rFonts w:cs="Arial"/>
          <w:sz w:val="22"/>
          <w:szCs w:val="22"/>
        </w:rPr>
        <w:t>, including your policy,</w:t>
      </w:r>
      <w:r w:rsidRPr="00BB2874">
        <w:rPr>
          <w:rFonts w:cs="Arial"/>
          <w:sz w:val="22"/>
          <w:szCs w:val="22"/>
        </w:rPr>
        <w:t xml:space="preserve"> to </w:t>
      </w:r>
      <w:r w:rsidRPr="00BB2874" w:rsidR="00033873">
        <w:rPr>
          <w:rFonts w:cs="Arial"/>
          <w:sz w:val="22"/>
          <w:szCs w:val="22"/>
        </w:rPr>
        <w:t xml:space="preserve">Gordian </w:t>
      </w:r>
      <w:r w:rsidRPr="00BB2874" w:rsidR="00033873">
        <w:rPr>
          <w:rFonts w:cs="Arial"/>
          <w:sz w:val="22"/>
          <w:szCs w:val="22"/>
        </w:rPr>
        <w:t>Run</w:t>
      </w:r>
      <w:r w:rsidRPr="00BB2874" w:rsidR="00894721">
        <w:rPr>
          <w:rFonts w:cs="Arial"/>
          <w:sz w:val="22"/>
          <w:szCs w:val="22"/>
        </w:rPr>
        <w:t>O</w:t>
      </w:r>
      <w:r w:rsidRPr="00BB2874" w:rsidR="00033873">
        <w:rPr>
          <w:rFonts w:cs="Arial"/>
          <w:sz w:val="22"/>
          <w:szCs w:val="22"/>
        </w:rPr>
        <w:t>ff</w:t>
      </w:r>
      <w:r w:rsidRPr="00BB2874" w:rsidR="00033873">
        <w:rPr>
          <w:rFonts w:cs="Arial"/>
          <w:sz w:val="22"/>
          <w:szCs w:val="22"/>
        </w:rPr>
        <w:t xml:space="preserve"> L</w:t>
      </w:r>
      <w:r w:rsidRPr="00BB2874" w:rsidR="00BD34BF">
        <w:rPr>
          <w:rFonts w:cs="Arial"/>
          <w:sz w:val="22"/>
          <w:szCs w:val="22"/>
        </w:rPr>
        <w:t>imi</w:t>
      </w:r>
      <w:r w:rsidRPr="00BB2874" w:rsidR="00033873">
        <w:rPr>
          <w:rFonts w:cs="Arial"/>
          <w:sz w:val="22"/>
          <w:szCs w:val="22"/>
        </w:rPr>
        <w:t>t</w:t>
      </w:r>
      <w:r w:rsidRPr="00BB2874" w:rsidR="00BD34BF">
        <w:rPr>
          <w:rFonts w:cs="Arial"/>
          <w:sz w:val="22"/>
          <w:szCs w:val="22"/>
        </w:rPr>
        <w:t>e</w:t>
      </w:r>
      <w:r w:rsidRPr="00BB2874" w:rsidR="00033873">
        <w:rPr>
          <w:rFonts w:cs="Arial"/>
          <w:sz w:val="22"/>
          <w:szCs w:val="22"/>
        </w:rPr>
        <w:t>d ABN 11 052 179 647</w:t>
      </w:r>
      <w:r w:rsidRPr="00BB2874" w:rsidR="003B1773">
        <w:rPr>
          <w:rFonts w:cs="Arial"/>
          <w:sz w:val="22"/>
          <w:szCs w:val="22"/>
        </w:rPr>
        <w:t xml:space="preserve"> </w:t>
      </w:r>
      <w:r w:rsidRPr="00BB2874">
        <w:rPr>
          <w:rFonts w:cs="Arial"/>
          <w:sz w:val="22"/>
          <w:szCs w:val="22"/>
        </w:rPr>
        <w:t xml:space="preserve">(referred to in this document as </w:t>
      </w:r>
      <w:r w:rsidRPr="00BB2874" w:rsidR="00033873">
        <w:rPr>
          <w:rFonts w:cs="Arial"/>
          <w:b/>
          <w:sz w:val="22"/>
          <w:szCs w:val="22"/>
        </w:rPr>
        <w:t>Gordian</w:t>
      </w:r>
      <w:r w:rsidRPr="00BB2874">
        <w:rPr>
          <w:rFonts w:cs="Arial"/>
          <w:sz w:val="22"/>
          <w:szCs w:val="22"/>
        </w:rPr>
        <w:t xml:space="preserve">).  </w:t>
      </w:r>
    </w:p>
    <w:p w:rsidR="008970DE" w:rsidRPr="00BB2874" w:rsidP="008E346D">
      <w:pPr>
        <w:pStyle w:val="BodyText1"/>
        <w:rPr>
          <w:rFonts w:cs="Arial"/>
          <w:color w:val="auto"/>
          <w:sz w:val="22"/>
          <w:szCs w:val="22"/>
          <w:shd w:val="clear" w:color="auto" w:fill="auto"/>
        </w:rPr>
      </w:pPr>
      <w:r w:rsidRPr="00BB2874">
        <w:rPr>
          <w:rFonts w:cs="Arial"/>
          <w:sz w:val="22"/>
          <w:szCs w:val="22"/>
        </w:rPr>
        <w:t xml:space="preserve">This document provides information about the scheme, how your policy with </w:t>
      </w:r>
      <w:r w:rsidRPr="00BB2874" w:rsidR="00033873">
        <w:rPr>
          <w:rFonts w:cs="Arial"/>
          <w:sz w:val="22"/>
          <w:szCs w:val="22"/>
        </w:rPr>
        <w:t>GLA</w:t>
      </w:r>
      <w:r w:rsidRPr="00BB2874">
        <w:rPr>
          <w:rFonts w:cs="Arial"/>
          <w:sz w:val="22"/>
          <w:szCs w:val="22"/>
        </w:rPr>
        <w:t xml:space="preserve"> will be affected and provides details </w:t>
      </w:r>
      <w:r w:rsidRPr="00BB2874" w:rsidR="00E17384">
        <w:rPr>
          <w:rFonts w:cs="Arial"/>
          <w:sz w:val="22"/>
          <w:szCs w:val="22"/>
        </w:rPr>
        <w:t xml:space="preserve">about </w:t>
      </w:r>
      <w:r w:rsidRPr="00BB2874">
        <w:rPr>
          <w:rFonts w:cs="Arial"/>
          <w:sz w:val="22"/>
          <w:szCs w:val="22"/>
        </w:rPr>
        <w:t xml:space="preserve">your right to appear before the Federal Court in respect to the scheme. </w:t>
      </w:r>
    </w:p>
    <w:p w:rsidR="008970DE" w:rsidRPr="00BB2874" w:rsidP="008E346D">
      <w:pPr>
        <w:pStyle w:val="BodyText1"/>
        <w:rPr>
          <w:rFonts w:cs="Arial"/>
          <w:color w:val="auto"/>
          <w:sz w:val="22"/>
          <w:szCs w:val="22"/>
          <w:shd w:val="clear" w:color="auto" w:fill="auto"/>
        </w:rPr>
      </w:pPr>
      <w:r w:rsidRPr="00BB2874">
        <w:rPr>
          <w:rFonts w:cs="Arial"/>
          <w:sz w:val="22"/>
          <w:szCs w:val="22"/>
        </w:rPr>
        <w:t>This summary has been approved by the Australian Prudential Regulatory Authority (</w:t>
      </w:r>
      <w:r w:rsidRPr="00BB2874">
        <w:rPr>
          <w:rFonts w:cs="Arial"/>
          <w:b/>
          <w:sz w:val="22"/>
          <w:szCs w:val="22"/>
        </w:rPr>
        <w:t>APRA</w:t>
      </w:r>
      <w:r w:rsidRPr="00BB2874">
        <w:rPr>
          <w:rFonts w:cs="Arial"/>
          <w:sz w:val="22"/>
          <w:szCs w:val="22"/>
        </w:rPr>
        <w:t>).</w:t>
      </w:r>
    </w:p>
    <w:p w:rsidR="008970DE" w:rsidRPr="00BB2874" w:rsidP="008E346D">
      <w:pPr>
        <w:pStyle w:val="BodyText1"/>
        <w:keepNext/>
        <w:rPr>
          <w:rFonts w:cs="Arial"/>
          <w:b/>
          <w:bCs/>
          <w:color w:val="auto"/>
          <w:sz w:val="22"/>
          <w:szCs w:val="22"/>
          <w:shd w:val="clear" w:color="auto" w:fill="auto"/>
        </w:rPr>
      </w:pPr>
      <w:r w:rsidRPr="00BB2874">
        <w:rPr>
          <w:rFonts w:cs="Arial"/>
          <w:b/>
          <w:bCs/>
          <w:sz w:val="22"/>
          <w:szCs w:val="22"/>
        </w:rPr>
        <w:t>Summary and background</w:t>
      </w:r>
    </w:p>
    <w:p w:rsidR="008970DE" w:rsidRPr="00BB2874" w:rsidP="00033873">
      <w:pPr>
        <w:pStyle w:val="Heading1"/>
        <w:rPr>
          <w:rFonts w:cs="Arial"/>
          <w:color w:val="auto"/>
          <w:sz w:val="22"/>
          <w:szCs w:val="22"/>
          <w:shd w:val="clear" w:color="auto" w:fill="auto"/>
        </w:rPr>
      </w:pPr>
      <w:r w:rsidRPr="00BB2874">
        <w:rPr>
          <w:rFonts w:cs="Arial"/>
          <w:sz w:val="22"/>
          <w:szCs w:val="22"/>
        </w:rPr>
        <w:t xml:space="preserve">This is a summary of a scheme under Division </w:t>
      </w:r>
      <w:r w:rsidRPr="00BB2874">
        <w:rPr>
          <w:rFonts w:cs="Arial"/>
          <w:sz w:val="22"/>
          <w:szCs w:val="22"/>
        </w:rPr>
        <w:t>3A</w:t>
      </w:r>
      <w:r w:rsidRPr="00BB2874">
        <w:rPr>
          <w:rFonts w:cs="Arial"/>
          <w:sz w:val="22"/>
          <w:szCs w:val="22"/>
        </w:rPr>
        <w:t xml:space="preserve"> of Part III of the </w:t>
      </w:r>
      <w:r w:rsidRPr="00BB2874">
        <w:rPr>
          <w:rFonts w:cs="Arial"/>
          <w:i/>
          <w:iCs/>
          <w:sz w:val="22"/>
          <w:szCs w:val="22"/>
        </w:rPr>
        <w:t xml:space="preserve">Insurance Act 1973 </w:t>
      </w:r>
      <w:r w:rsidRPr="00BB2874">
        <w:rPr>
          <w:rFonts w:cs="Arial"/>
          <w:sz w:val="22"/>
          <w:szCs w:val="22"/>
        </w:rPr>
        <w:t>(</w:t>
      </w:r>
      <w:r w:rsidRPr="00BB2874">
        <w:rPr>
          <w:rFonts w:cs="Arial"/>
          <w:sz w:val="22"/>
          <w:szCs w:val="22"/>
        </w:rPr>
        <w:t>Cth</w:t>
      </w:r>
      <w:r w:rsidRPr="00BB2874">
        <w:rPr>
          <w:rFonts w:cs="Arial"/>
          <w:sz w:val="22"/>
          <w:szCs w:val="22"/>
        </w:rPr>
        <w:t xml:space="preserve">) (the </w:t>
      </w:r>
      <w:r w:rsidRPr="00BB2874">
        <w:rPr>
          <w:rFonts w:cs="Arial"/>
          <w:b/>
          <w:bCs/>
          <w:sz w:val="22"/>
          <w:szCs w:val="22"/>
        </w:rPr>
        <w:t>Insurance Act</w:t>
      </w:r>
      <w:r w:rsidRPr="00BB2874">
        <w:rPr>
          <w:rFonts w:cs="Arial"/>
          <w:sz w:val="22"/>
          <w:szCs w:val="22"/>
        </w:rPr>
        <w:t xml:space="preserve">) providing for the transfer of (amongst other things) the </w:t>
      </w:r>
      <w:r w:rsidRPr="00BB2874" w:rsidR="00033873">
        <w:rPr>
          <w:rFonts w:cs="Arial"/>
          <w:sz w:val="22"/>
          <w:szCs w:val="22"/>
        </w:rPr>
        <w:t>GLA</w:t>
      </w:r>
      <w:r w:rsidRPr="00BB2874">
        <w:rPr>
          <w:rFonts w:cs="Arial"/>
          <w:sz w:val="22"/>
          <w:szCs w:val="22"/>
        </w:rPr>
        <w:t xml:space="preserve"> Business, including </w:t>
      </w:r>
      <w:r w:rsidRPr="00BB2874" w:rsidR="00A93FC2">
        <w:rPr>
          <w:rFonts w:cs="Arial"/>
          <w:sz w:val="22"/>
          <w:szCs w:val="22"/>
        </w:rPr>
        <w:t xml:space="preserve">certain </w:t>
      </w:r>
      <w:r w:rsidRPr="00BB2874">
        <w:rPr>
          <w:rFonts w:cs="Arial"/>
          <w:sz w:val="22"/>
          <w:szCs w:val="22"/>
        </w:rPr>
        <w:t>insurance contracts</w:t>
      </w:r>
      <w:r w:rsidRPr="00BB2874" w:rsidR="00A93FC2">
        <w:rPr>
          <w:rFonts w:cs="Arial"/>
          <w:sz w:val="22"/>
          <w:szCs w:val="22"/>
        </w:rPr>
        <w:t xml:space="preserve"> (including your policy)</w:t>
      </w:r>
      <w:r w:rsidRPr="00BB2874">
        <w:rPr>
          <w:rFonts w:cs="Arial"/>
          <w:sz w:val="22"/>
          <w:szCs w:val="22"/>
        </w:rPr>
        <w:t xml:space="preserve"> (the </w:t>
      </w:r>
      <w:r w:rsidRPr="00BB2874" w:rsidR="00033873">
        <w:rPr>
          <w:rFonts w:cs="Arial"/>
          <w:b/>
          <w:bCs/>
          <w:sz w:val="22"/>
          <w:szCs w:val="22"/>
        </w:rPr>
        <w:t>Transferring</w:t>
      </w:r>
      <w:r w:rsidRPr="00BB2874">
        <w:rPr>
          <w:rFonts w:cs="Arial"/>
          <w:b/>
          <w:bCs/>
          <w:sz w:val="22"/>
          <w:szCs w:val="22"/>
        </w:rPr>
        <w:t xml:space="preserve"> </w:t>
      </w:r>
      <w:r w:rsidRPr="00BB2874" w:rsidR="00033873">
        <w:rPr>
          <w:rFonts w:cs="Arial"/>
          <w:b/>
          <w:bCs/>
          <w:sz w:val="22"/>
          <w:szCs w:val="22"/>
        </w:rPr>
        <w:t>Policies</w:t>
      </w:r>
      <w:r w:rsidRPr="00BB2874">
        <w:rPr>
          <w:rFonts w:cs="Arial"/>
          <w:sz w:val="22"/>
          <w:szCs w:val="22"/>
        </w:rPr>
        <w:t xml:space="preserve">), of </w:t>
      </w:r>
      <w:r w:rsidRPr="00BB2874" w:rsidR="00033873">
        <w:rPr>
          <w:rFonts w:cs="Arial"/>
          <w:sz w:val="22"/>
          <w:szCs w:val="22"/>
        </w:rPr>
        <w:t>GLA</w:t>
      </w:r>
      <w:r w:rsidRPr="00BB2874" w:rsidR="00033873">
        <w:rPr>
          <w:rFonts w:cs="Arial"/>
          <w:sz w:val="22"/>
          <w:szCs w:val="22"/>
        </w:rPr>
        <w:t xml:space="preserve"> to Gordian</w:t>
      </w:r>
      <w:r w:rsidRPr="00BB2874">
        <w:rPr>
          <w:rFonts w:cs="Arial"/>
          <w:sz w:val="22"/>
          <w:szCs w:val="22"/>
        </w:rPr>
        <w:t xml:space="preserve"> (the </w:t>
      </w:r>
      <w:r w:rsidRPr="00BB2874">
        <w:rPr>
          <w:rFonts w:cs="Arial"/>
          <w:b/>
          <w:bCs/>
          <w:sz w:val="22"/>
          <w:szCs w:val="22"/>
        </w:rPr>
        <w:t>Scheme</w:t>
      </w:r>
      <w:r w:rsidRPr="00BB2874">
        <w:rPr>
          <w:rFonts w:cs="Arial"/>
          <w:sz w:val="22"/>
          <w:szCs w:val="22"/>
        </w:rPr>
        <w:t xml:space="preserve">). </w:t>
      </w:r>
    </w:p>
    <w:p w:rsidR="008E346D" w:rsidRPr="00BB2874" w:rsidP="00D50064">
      <w:pPr>
        <w:pStyle w:val="Heading1"/>
        <w:rPr>
          <w:rFonts w:cs="Arial"/>
          <w:color w:val="auto"/>
          <w:sz w:val="22"/>
          <w:szCs w:val="22"/>
          <w:shd w:val="clear" w:color="auto" w:fill="auto"/>
        </w:rPr>
      </w:pPr>
      <w:r w:rsidRPr="00BB2874">
        <w:rPr>
          <w:rFonts w:cs="Arial"/>
          <w:sz w:val="22"/>
          <w:szCs w:val="22"/>
        </w:rPr>
        <w:t>GLA</w:t>
      </w:r>
      <w:r w:rsidRPr="00BB2874">
        <w:rPr>
          <w:rFonts w:cs="Arial"/>
          <w:sz w:val="22"/>
          <w:szCs w:val="22"/>
        </w:rPr>
        <w:t xml:space="preserve"> is the Australian branch of a foreign company, </w:t>
      </w:r>
      <w:r w:rsidRPr="00BB2874" w:rsidR="00947511">
        <w:rPr>
          <w:rFonts w:cs="Arial"/>
          <w:sz w:val="22"/>
          <w:szCs w:val="22"/>
        </w:rPr>
        <w:t>Great Lakes Insurance SE</w:t>
      </w:r>
      <w:r w:rsidRPr="00BB2874" w:rsidR="00AA4D34">
        <w:rPr>
          <w:rFonts w:cs="Arial"/>
          <w:sz w:val="22"/>
          <w:szCs w:val="22"/>
        </w:rPr>
        <w:t xml:space="preserve">.  </w:t>
      </w:r>
      <w:r w:rsidRPr="00BB2874" w:rsidR="00571C4B">
        <w:rPr>
          <w:rFonts w:cs="Arial"/>
          <w:sz w:val="22"/>
          <w:szCs w:val="22"/>
        </w:rPr>
        <w:t xml:space="preserve"> </w:t>
      </w:r>
      <w:r w:rsidRPr="00BB2874" w:rsidR="00A86365">
        <w:rPr>
          <w:rFonts w:cs="Arial"/>
          <w:sz w:val="22"/>
          <w:szCs w:val="22"/>
        </w:rPr>
        <w:t>GLA</w:t>
      </w:r>
      <w:r w:rsidRPr="00BB2874" w:rsidR="00A86365">
        <w:rPr>
          <w:rFonts w:cs="Arial"/>
          <w:sz w:val="22"/>
          <w:szCs w:val="22"/>
        </w:rPr>
        <w:t xml:space="preserve"> is authorised under section 12 of the Insurance Act to carry on insurance business in Australia.</w:t>
      </w:r>
    </w:p>
    <w:p w:rsidR="008970DE" w:rsidRPr="00BB2874" w:rsidP="008E346D">
      <w:pPr>
        <w:pStyle w:val="Heading1"/>
        <w:rPr>
          <w:rFonts w:cs="Arial"/>
          <w:color w:val="auto"/>
          <w:sz w:val="22"/>
          <w:szCs w:val="22"/>
          <w:shd w:val="clear" w:color="auto" w:fill="auto"/>
        </w:rPr>
      </w:pPr>
      <w:r w:rsidRPr="00BB2874">
        <w:rPr>
          <w:rFonts w:cs="Arial"/>
          <w:sz w:val="22"/>
          <w:szCs w:val="22"/>
        </w:rPr>
        <w:t xml:space="preserve">Gordian </w:t>
      </w:r>
      <w:r w:rsidRPr="00BB2874" w:rsidR="00A86365">
        <w:rPr>
          <w:rFonts w:cs="Arial"/>
          <w:sz w:val="22"/>
          <w:szCs w:val="22"/>
        </w:rPr>
        <w:t xml:space="preserve">is </w:t>
      </w:r>
      <w:r w:rsidRPr="00BB2874">
        <w:rPr>
          <w:rFonts w:cs="Arial"/>
          <w:sz w:val="22"/>
          <w:szCs w:val="22"/>
        </w:rPr>
        <w:t xml:space="preserve">authorised under section 12 of the Insurance Act to carry on </w:t>
      </w:r>
      <w:r w:rsidRPr="00BB2874" w:rsidR="003C6CE9">
        <w:rPr>
          <w:rFonts w:cs="Arial"/>
          <w:sz w:val="22"/>
          <w:szCs w:val="22"/>
        </w:rPr>
        <w:t xml:space="preserve">run-off </w:t>
      </w:r>
      <w:r w:rsidRPr="00BB2874">
        <w:rPr>
          <w:rFonts w:cs="Arial"/>
          <w:sz w:val="22"/>
          <w:szCs w:val="22"/>
        </w:rPr>
        <w:t>insurance business in Australia.</w:t>
      </w:r>
    </w:p>
    <w:p w:rsidR="008970DE" w:rsidRPr="00BB2874" w:rsidP="001064B3">
      <w:pPr>
        <w:pStyle w:val="Heading1"/>
        <w:rPr>
          <w:rFonts w:cs="Arial"/>
          <w:color w:val="auto"/>
          <w:sz w:val="22"/>
          <w:szCs w:val="22"/>
          <w:shd w:val="clear" w:color="auto" w:fill="auto"/>
        </w:rPr>
      </w:pPr>
      <w:r w:rsidRPr="00BB2874">
        <w:rPr>
          <w:rFonts w:cs="Arial"/>
          <w:sz w:val="22"/>
          <w:szCs w:val="22"/>
        </w:rPr>
        <w:t>Upon confirmation of the Scheme by the Federal Court of Australia (</w:t>
      </w:r>
      <w:r w:rsidRPr="00BB2874">
        <w:rPr>
          <w:rFonts w:cs="Arial"/>
          <w:b/>
          <w:bCs/>
          <w:sz w:val="22"/>
          <w:szCs w:val="22"/>
        </w:rPr>
        <w:t>Court</w:t>
      </w:r>
      <w:r w:rsidRPr="00BB2874">
        <w:rPr>
          <w:rFonts w:cs="Arial"/>
          <w:sz w:val="22"/>
          <w:szCs w:val="22"/>
        </w:rPr>
        <w:t xml:space="preserve">), and subject to any modifications ordered by the Court, the Scheme is proposed to effect the transfer of the </w:t>
      </w:r>
      <w:r w:rsidRPr="00BB2874" w:rsidR="001064B3">
        <w:rPr>
          <w:rFonts w:cs="Arial"/>
          <w:sz w:val="22"/>
          <w:szCs w:val="22"/>
        </w:rPr>
        <w:t>GLA</w:t>
      </w:r>
      <w:r w:rsidRPr="00BB2874" w:rsidR="001064B3">
        <w:rPr>
          <w:rFonts w:cs="Arial"/>
          <w:sz w:val="22"/>
          <w:szCs w:val="22"/>
        </w:rPr>
        <w:t xml:space="preserve"> Business</w:t>
      </w:r>
      <w:r w:rsidRPr="00BB2874">
        <w:rPr>
          <w:rFonts w:cs="Arial"/>
          <w:sz w:val="22"/>
          <w:szCs w:val="22"/>
        </w:rPr>
        <w:t xml:space="preserve">, including the </w:t>
      </w:r>
      <w:r w:rsidRPr="00BB2874" w:rsidR="001064B3">
        <w:rPr>
          <w:rFonts w:cs="Arial"/>
          <w:sz w:val="22"/>
          <w:szCs w:val="22"/>
        </w:rPr>
        <w:t>Transferring Policies</w:t>
      </w:r>
      <w:r w:rsidRPr="00BB2874">
        <w:rPr>
          <w:rFonts w:cs="Arial"/>
          <w:sz w:val="22"/>
          <w:szCs w:val="22"/>
        </w:rPr>
        <w:t xml:space="preserve">, to </w:t>
      </w:r>
      <w:r w:rsidRPr="00BB2874" w:rsidR="001064B3">
        <w:rPr>
          <w:rFonts w:cs="Arial"/>
          <w:sz w:val="22"/>
          <w:szCs w:val="22"/>
        </w:rPr>
        <w:t>Gordian</w:t>
      </w:r>
      <w:r w:rsidRPr="00BB2874">
        <w:rPr>
          <w:rFonts w:cs="Arial"/>
          <w:sz w:val="22"/>
          <w:szCs w:val="22"/>
        </w:rPr>
        <w:t xml:space="preserve"> on the terms of the Scheme.  A summary of the material terms of the Scheme is included in this document.</w:t>
      </w:r>
    </w:p>
    <w:p w:rsidR="008970DE" w:rsidRPr="00BB2874" w:rsidP="008E346D">
      <w:pPr>
        <w:pStyle w:val="Heading1"/>
        <w:rPr>
          <w:rFonts w:cs="Arial"/>
          <w:color w:val="auto"/>
          <w:sz w:val="22"/>
          <w:szCs w:val="22"/>
          <w:shd w:val="clear" w:color="auto" w:fill="auto"/>
        </w:rPr>
      </w:pPr>
      <w:r w:rsidRPr="00BB2874">
        <w:rPr>
          <w:rFonts w:cs="Arial"/>
          <w:sz w:val="22"/>
          <w:szCs w:val="22"/>
        </w:rPr>
        <w:t xml:space="preserve">Policyholders have a right to object to the Scheme. </w:t>
      </w:r>
      <w:r w:rsidRPr="00BB2874" w:rsidR="00571C4B">
        <w:rPr>
          <w:rFonts w:cs="Arial"/>
          <w:sz w:val="22"/>
          <w:szCs w:val="22"/>
        </w:rPr>
        <w:t xml:space="preserve">Once the Court confirms the Scheme, the Scheme will become binding on all persons, including </w:t>
      </w:r>
      <w:r w:rsidRPr="00BB2874" w:rsidR="008E346D">
        <w:rPr>
          <w:rFonts w:cs="Arial"/>
          <w:sz w:val="22"/>
          <w:szCs w:val="22"/>
        </w:rPr>
        <w:t>Gordian</w:t>
      </w:r>
      <w:r w:rsidRPr="00BB2874" w:rsidR="00571C4B">
        <w:rPr>
          <w:rFonts w:cs="Arial"/>
          <w:sz w:val="22"/>
          <w:szCs w:val="22"/>
        </w:rPr>
        <w:t xml:space="preserve">, </w:t>
      </w:r>
      <w:r w:rsidRPr="00BB2874" w:rsidR="008E346D">
        <w:rPr>
          <w:rFonts w:cs="Arial"/>
          <w:sz w:val="22"/>
          <w:szCs w:val="22"/>
        </w:rPr>
        <w:t>GLA</w:t>
      </w:r>
      <w:r w:rsidRPr="00BB2874" w:rsidR="00571C4B">
        <w:rPr>
          <w:rFonts w:cs="Arial"/>
          <w:sz w:val="22"/>
          <w:szCs w:val="22"/>
        </w:rPr>
        <w:t xml:space="preserve"> and affected policyholders.</w:t>
      </w:r>
      <w:r w:rsidRPr="00BB2874" w:rsidR="003C6CE9">
        <w:rPr>
          <w:rFonts w:cs="Arial"/>
          <w:sz w:val="22"/>
          <w:szCs w:val="22"/>
        </w:rPr>
        <w:t xml:space="preserve"> </w:t>
      </w:r>
    </w:p>
    <w:p w:rsidR="008970DE" w:rsidRPr="00BB2874" w:rsidP="008324D9">
      <w:pPr>
        <w:pStyle w:val="Heading1"/>
        <w:rPr>
          <w:rFonts w:cs="Arial"/>
          <w:color w:val="auto"/>
          <w:sz w:val="22"/>
          <w:szCs w:val="22"/>
          <w:shd w:val="clear" w:color="auto" w:fill="auto"/>
        </w:rPr>
      </w:pPr>
      <w:r w:rsidRPr="00BB2874">
        <w:rPr>
          <w:rFonts w:cs="Arial"/>
          <w:sz w:val="22"/>
          <w:szCs w:val="22"/>
        </w:rPr>
        <w:t>An actuarial report dated</w:t>
      </w:r>
      <w:r w:rsidRPr="00BB2874" w:rsidR="005B692E">
        <w:rPr>
          <w:rFonts w:cs="Arial"/>
          <w:sz w:val="22"/>
          <w:szCs w:val="22"/>
        </w:rPr>
        <w:t xml:space="preserve"> </w:t>
      </w:r>
      <w:r w:rsidRPr="00BB2874" w:rsidR="00C40C41">
        <w:rPr>
          <w:rFonts w:cs="Arial"/>
          <w:sz w:val="22"/>
          <w:szCs w:val="22"/>
        </w:rPr>
        <w:t xml:space="preserve">9 March 2020 </w:t>
      </w:r>
      <w:r w:rsidRPr="00BB2874">
        <w:rPr>
          <w:rFonts w:cs="Arial"/>
          <w:sz w:val="22"/>
          <w:szCs w:val="22"/>
        </w:rPr>
        <w:t xml:space="preserve">has been prepared by </w:t>
      </w:r>
      <w:r w:rsidRPr="00BB2874" w:rsidR="00251387">
        <w:rPr>
          <w:rFonts w:cs="Arial"/>
          <w:sz w:val="22"/>
          <w:szCs w:val="22"/>
        </w:rPr>
        <w:t xml:space="preserve">Geoff Atkins </w:t>
      </w:r>
      <w:r w:rsidRPr="00BB2874">
        <w:rPr>
          <w:rFonts w:cs="Arial"/>
          <w:sz w:val="22"/>
          <w:szCs w:val="22"/>
        </w:rPr>
        <w:t xml:space="preserve">of </w:t>
      </w:r>
      <w:r w:rsidRPr="00BB2874" w:rsidR="00251387">
        <w:rPr>
          <w:rFonts w:cs="Arial"/>
          <w:sz w:val="22"/>
          <w:szCs w:val="22"/>
        </w:rPr>
        <w:t>Finity</w:t>
      </w:r>
      <w:r w:rsidRPr="00BB2874" w:rsidR="00251387">
        <w:rPr>
          <w:rFonts w:cs="Arial"/>
          <w:sz w:val="22"/>
          <w:szCs w:val="22"/>
        </w:rPr>
        <w:t xml:space="preserve"> Consulting Pty Limited</w:t>
      </w:r>
      <w:r w:rsidRPr="00BB2874" w:rsidR="008E346D">
        <w:rPr>
          <w:rFonts w:cs="Arial"/>
          <w:sz w:val="22"/>
          <w:szCs w:val="22"/>
        </w:rPr>
        <w:t xml:space="preserve"> </w:t>
      </w:r>
      <w:r w:rsidRPr="00BB2874">
        <w:rPr>
          <w:rFonts w:cs="Arial"/>
          <w:sz w:val="22"/>
          <w:szCs w:val="22"/>
        </w:rPr>
        <w:t xml:space="preserve">ABN </w:t>
      </w:r>
      <w:r w:rsidRPr="00BB2874" w:rsidR="00251387">
        <w:rPr>
          <w:rFonts w:cs="Arial"/>
          <w:sz w:val="22"/>
          <w:szCs w:val="22"/>
        </w:rPr>
        <w:t xml:space="preserve">89 111 470 270 </w:t>
      </w:r>
      <w:r w:rsidRPr="00BB2874">
        <w:rPr>
          <w:rFonts w:cs="Arial"/>
          <w:sz w:val="22"/>
          <w:szCs w:val="22"/>
        </w:rPr>
        <w:t xml:space="preserve">in support of the Scheme (the </w:t>
      </w:r>
      <w:r w:rsidRPr="00BB2874">
        <w:rPr>
          <w:rFonts w:cs="Arial"/>
          <w:b/>
          <w:sz w:val="22"/>
          <w:szCs w:val="22"/>
        </w:rPr>
        <w:t>Actuarial Report</w:t>
      </w:r>
      <w:r w:rsidRPr="00BB2874">
        <w:rPr>
          <w:rFonts w:cs="Arial"/>
          <w:sz w:val="22"/>
          <w:szCs w:val="22"/>
        </w:rPr>
        <w:t xml:space="preserve">). </w:t>
      </w:r>
      <w:r w:rsidRPr="00BB2874" w:rsidR="000D72DC">
        <w:rPr>
          <w:rFonts w:cs="Arial"/>
          <w:sz w:val="22"/>
          <w:szCs w:val="22"/>
        </w:rPr>
        <w:t xml:space="preserve"> </w:t>
      </w:r>
      <w:r w:rsidRPr="00BB2874">
        <w:rPr>
          <w:rFonts w:cs="Arial"/>
          <w:sz w:val="22"/>
          <w:szCs w:val="22"/>
        </w:rPr>
        <w:t xml:space="preserve">The key findings of the Actuarial Report are summarised in this document. </w:t>
      </w:r>
    </w:p>
    <w:p w:rsidR="008970DE" w:rsidRPr="00BB2874" w:rsidP="008E346D">
      <w:pPr>
        <w:pStyle w:val="Heading1"/>
        <w:rPr>
          <w:rFonts w:cs="Arial"/>
          <w:color w:val="auto"/>
          <w:sz w:val="22"/>
          <w:szCs w:val="22"/>
          <w:shd w:val="clear" w:color="auto" w:fill="auto"/>
        </w:rPr>
      </w:pPr>
      <w:r w:rsidRPr="00BB2874">
        <w:rPr>
          <w:rFonts w:cs="Arial"/>
          <w:sz w:val="22"/>
          <w:szCs w:val="22"/>
        </w:rPr>
        <w:t>Gordian</w:t>
      </w:r>
      <w:r w:rsidRPr="00BB2874" w:rsidR="00571C4B">
        <w:rPr>
          <w:rFonts w:cs="Arial"/>
          <w:sz w:val="22"/>
          <w:szCs w:val="22"/>
        </w:rPr>
        <w:t xml:space="preserve"> and </w:t>
      </w:r>
      <w:r w:rsidRPr="00BB2874">
        <w:rPr>
          <w:rFonts w:cs="Arial"/>
          <w:sz w:val="22"/>
          <w:szCs w:val="22"/>
        </w:rPr>
        <w:t>GLA</w:t>
      </w:r>
      <w:r w:rsidRPr="00BB2874" w:rsidR="00571C4B">
        <w:rPr>
          <w:rFonts w:cs="Arial"/>
          <w:sz w:val="22"/>
          <w:szCs w:val="22"/>
        </w:rPr>
        <w:t xml:space="preserve"> have entered into a </w:t>
      </w:r>
      <w:r w:rsidRPr="00BB2874">
        <w:rPr>
          <w:rFonts w:cs="Arial"/>
          <w:sz w:val="22"/>
          <w:szCs w:val="22"/>
        </w:rPr>
        <w:t xml:space="preserve">Framework and </w:t>
      </w:r>
      <w:r w:rsidRPr="00BB2874" w:rsidR="00571C4B">
        <w:rPr>
          <w:rFonts w:cs="Arial"/>
          <w:sz w:val="22"/>
          <w:szCs w:val="22"/>
        </w:rPr>
        <w:t xml:space="preserve">Transfer </w:t>
      </w:r>
      <w:r w:rsidRPr="00BB2874">
        <w:rPr>
          <w:rFonts w:cs="Arial"/>
          <w:sz w:val="22"/>
          <w:szCs w:val="22"/>
        </w:rPr>
        <w:t>Deed</w:t>
      </w:r>
      <w:r w:rsidRPr="00BB2874" w:rsidR="00571C4B">
        <w:rPr>
          <w:rFonts w:cs="Arial"/>
          <w:sz w:val="22"/>
          <w:szCs w:val="22"/>
        </w:rPr>
        <w:t xml:space="preserve"> to give effect to the transfer of the </w:t>
      </w:r>
      <w:r w:rsidRPr="00BB2874">
        <w:rPr>
          <w:rFonts w:cs="Arial"/>
          <w:sz w:val="22"/>
          <w:szCs w:val="22"/>
        </w:rPr>
        <w:t>GLA</w:t>
      </w:r>
      <w:r w:rsidRPr="00BB2874" w:rsidR="00571C4B">
        <w:rPr>
          <w:rFonts w:cs="Arial"/>
          <w:sz w:val="22"/>
          <w:szCs w:val="22"/>
        </w:rPr>
        <w:t xml:space="preserve"> Business, including the </w:t>
      </w:r>
      <w:r w:rsidRPr="00BB2874">
        <w:rPr>
          <w:rFonts w:cs="Arial"/>
          <w:sz w:val="22"/>
          <w:szCs w:val="22"/>
        </w:rPr>
        <w:t>Transferring Policies</w:t>
      </w:r>
      <w:r w:rsidRPr="00BB2874" w:rsidR="00571C4B">
        <w:rPr>
          <w:rFonts w:cs="Arial"/>
          <w:sz w:val="22"/>
          <w:szCs w:val="22"/>
        </w:rPr>
        <w:t xml:space="preserve">, </w:t>
      </w:r>
      <w:r w:rsidRPr="00BB2874" w:rsidR="003B1773">
        <w:rPr>
          <w:rFonts w:cs="Arial"/>
          <w:sz w:val="22"/>
          <w:szCs w:val="22"/>
        </w:rPr>
        <w:t xml:space="preserve">from </w:t>
      </w:r>
      <w:r w:rsidRPr="00BB2874">
        <w:rPr>
          <w:rFonts w:cs="Arial"/>
          <w:sz w:val="22"/>
          <w:szCs w:val="22"/>
        </w:rPr>
        <w:t>GLA</w:t>
      </w:r>
      <w:r w:rsidRPr="00BB2874" w:rsidR="003B1773">
        <w:rPr>
          <w:rFonts w:cs="Arial"/>
          <w:sz w:val="22"/>
          <w:szCs w:val="22"/>
        </w:rPr>
        <w:t xml:space="preserve"> </w:t>
      </w:r>
      <w:r w:rsidRPr="00BB2874" w:rsidR="00571C4B">
        <w:rPr>
          <w:rFonts w:cs="Arial"/>
          <w:sz w:val="22"/>
          <w:szCs w:val="22"/>
        </w:rPr>
        <w:t xml:space="preserve">to </w:t>
      </w:r>
      <w:r w:rsidRPr="00BB2874">
        <w:rPr>
          <w:rFonts w:cs="Arial"/>
          <w:sz w:val="22"/>
          <w:szCs w:val="22"/>
        </w:rPr>
        <w:t>Gordian</w:t>
      </w:r>
      <w:r w:rsidRPr="00BB2874" w:rsidR="00571C4B">
        <w:rPr>
          <w:rFonts w:cs="Arial"/>
          <w:sz w:val="22"/>
          <w:szCs w:val="22"/>
        </w:rPr>
        <w:t xml:space="preserve"> (the </w:t>
      </w:r>
      <w:r w:rsidRPr="00BB2874">
        <w:rPr>
          <w:rFonts w:cs="Arial"/>
          <w:b/>
          <w:bCs/>
          <w:sz w:val="22"/>
          <w:szCs w:val="22"/>
        </w:rPr>
        <w:t>Framework and</w:t>
      </w:r>
      <w:r w:rsidRPr="00BB2874">
        <w:rPr>
          <w:rFonts w:cs="Arial"/>
          <w:sz w:val="22"/>
          <w:szCs w:val="22"/>
        </w:rPr>
        <w:t xml:space="preserve"> </w:t>
      </w:r>
      <w:r w:rsidRPr="00BB2874" w:rsidR="00571C4B">
        <w:rPr>
          <w:rFonts w:cs="Arial"/>
          <w:b/>
          <w:bCs/>
          <w:sz w:val="22"/>
          <w:szCs w:val="22"/>
        </w:rPr>
        <w:t xml:space="preserve">Transfer </w:t>
      </w:r>
      <w:r w:rsidRPr="00BB2874">
        <w:rPr>
          <w:rFonts w:cs="Arial"/>
          <w:b/>
          <w:bCs/>
          <w:sz w:val="22"/>
          <w:szCs w:val="22"/>
        </w:rPr>
        <w:t>Deed</w:t>
      </w:r>
      <w:r w:rsidRPr="00BB2874" w:rsidR="00571C4B">
        <w:rPr>
          <w:rFonts w:cs="Arial"/>
          <w:i/>
          <w:iCs/>
          <w:sz w:val="22"/>
          <w:szCs w:val="22"/>
        </w:rPr>
        <w:t>)</w:t>
      </w:r>
      <w:r w:rsidRPr="00BB2874" w:rsidR="00571C4B">
        <w:rPr>
          <w:rFonts w:cs="Arial"/>
          <w:iCs/>
          <w:sz w:val="22"/>
          <w:szCs w:val="22"/>
        </w:rPr>
        <w:t xml:space="preserve">, subject to confirmation of the </w:t>
      </w:r>
      <w:r w:rsidRPr="00BB2874" w:rsidR="00571C4B">
        <w:rPr>
          <w:rFonts w:cs="Arial"/>
          <w:iCs/>
          <w:sz w:val="22"/>
          <w:szCs w:val="22"/>
        </w:rPr>
        <w:t>Scheme by the Court</w:t>
      </w:r>
      <w:r w:rsidRPr="00BB2874" w:rsidR="00571C4B">
        <w:rPr>
          <w:rFonts w:cs="Arial"/>
          <w:sz w:val="22"/>
          <w:szCs w:val="22"/>
        </w:rPr>
        <w:t xml:space="preserve">. </w:t>
      </w:r>
      <w:r w:rsidRPr="00BB2874" w:rsidR="000D72DC">
        <w:rPr>
          <w:rFonts w:cs="Arial"/>
          <w:sz w:val="22"/>
          <w:szCs w:val="22"/>
        </w:rPr>
        <w:t xml:space="preserve"> </w:t>
      </w:r>
      <w:r w:rsidRPr="00BB2874" w:rsidR="00571C4B">
        <w:rPr>
          <w:rFonts w:cs="Arial"/>
          <w:sz w:val="22"/>
          <w:szCs w:val="22"/>
        </w:rPr>
        <w:t xml:space="preserve">Material terms of the </w:t>
      </w:r>
      <w:r w:rsidRPr="00BB2874">
        <w:rPr>
          <w:rFonts w:cs="Arial"/>
          <w:sz w:val="22"/>
          <w:szCs w:val="22"/>
        </w:rPr>
        <w:t xml:space="preserve">Framework and </w:t>
      </w:r>
      <w:r w:rsidRPr="00BB2874" w:rsidR="00571C4B">
        <w:rPr>
          <w:rFonts w:cs="Arial"/>
          <w:sz w:val="22"/>
          <w:szCs w:val="22"/>
        </w:rPr>
        <w:t xml:space="preserve">Transfer </w:t>
      </w:r>
      <w:r w:rsidRPr="00BB2874">
        <w:rPr>
          <w:rFonts w:cs="Arial"/>
          <w:sz w:val="22"/>
          <w:szCs w:val="22"/>
        </w:rPr>
        <w:t>Deed</w:t>
      </w:r>
      <w:r w:rsidRPr="00BB2874" w:rsidR="00571C4B">
        <w:rPr>
          <w:rFonts w:cs="Arial"/>
          <w:sz w:val="22"/>
          <w:szCs w:val="22"/>
        </w:rPr>
        <w:t xml:space="preserve"> are summarised in this document. </w:t>
      </w:r>
    </w:p>
    <w:p w:rsidR="008970DE" w:rsidRPr="00BB2874" w:rsidP="008E346D">
      <w:pPr>
        <w:pStyle w:val="BodyText1"/>
        <w:keepNext/>
        <w:rPr>
          <w:rFonts w:cs="Arial"/>
          <w:b/>
          <w:bCs/>
          <w:color w:val="auto"/>
          <w:sz w:val="22"/>
          <w:szCs w:val="22"/>
          <w:shd w:val="clear" w:color="auto" w:fill="auto"/>
        </w:rPr>
      </w:pPr>
      <w:r w:rsidRPr="00BB2874">
        <w:rPr>
          <w:rFonts w:cs="Arial"/>
          <w:b/>
          <w:bCs/>
          <w:sz w:val="22"/>
          <w:szCs w:val="22"/>
        </w:rPr>
        <w:t>The parties involved in the Scheme</w:t>
      </w:r>
    </w:p>
    <w:p w:rsidR="008970DE" w:rsidRPr="00BB2874" w:rsidP="00D50064">
      <w:pPr>
        <w:pStyle w:val="Heading1"/>
        <w:keepNext/>
        <w:rPr>
          <w:rFonts w:cs="Arial"/>
          <w:color w:val="auto"/>
          <w:sz w:val="22"/>
          <w:szCs w:val="22"/>
          <w:shd w:val="clear" w:color="auto" w:fill="auto"/>
        </w:rPr>
      </w:pPr>
      <w:bookmarkStart w:id="0" w:name="_Ref13736418"/>
      <w:r w:rsidRPr="00BB2874">
        <w:rPr>
          <w:rFonts w:cs="Arial"/>
          <w:sz w:val="22"/>
          <w:szCs w:val="22"/>
        </w:rPr>
        <w:t xml:space="preserve">Gordian is a company incorporated in Australia.  </w:t>
      </w:r>
      <w:r w:rsidRPr="00BB2874" w:rsidR="000C11D5">
        <w:rPr>
          <w:rFonts w:cs="Arial"/>
          <w:sz w:val="22"/>
          <w:szCs w:val="22"/>
        </w:rPr>
        <w:t xml:space="preserve">It is a subsidiary of Enstar Group Ltd (a company registered in Bermuda).  </w:t>
      </w:r>
      <w:r w:rsidRPr="00BB2874" w:rsidR="00D50064">
        <w:rPr>
          <w:rFonts w:cs="Arial"/>
          <w:sz w:val="22"/>
          <w:szCs w:val="22"/>
        </w:rPr>
        <w:t>Gordian</w:t>
      </w:r>
      <w:r w:rsidRPr="00BB2874">
        <w:rPr>
          <w:rFonts w:cs="Arial"/>
          <w:sz w:val="22"/>
          <w:szCs w:val="22"/>
        </w:rPr>
        <w:t xml:space="preserve"> is authorised to carry on </w:t>
      </w:r>
      <w:r w:rsidRPr="00BB2874" w:rsidR="003C6CE9">
        <w:rPr>
          <w:rFonts w:cs="Arial"/>
          <w:sz w:val="22"/>
          <w:szCs w:val="22"/>
        </w:rPr>
        <w:t xml:space="preserve">run-off </w:t>
      </w:r>
      <w:r w:rsidRPr="00BB2874">
        <w:rPr>
          <w:rFonts w:cs="Arial"/>
          <w:sz w:val="22"/>
          <w:szCs w:val="22"/>
        </w:rPr>
        <w:t xml:space="preserve">insurance business in Australia under the Insurance Act and is regulated by APRA.  </w:t>
      </w:r>
      <w:r w:rsidRPr="00BB2874" w:rsidR="00D50064">
        <w:rPr>
          <w:rFonts w:cs="Arial"/>
          <w:sz w:val="22"/>
          <w:szCs w:val="22"/>
        </w:rPr>
        <w:t>It</w:t>
      </w:r>
      <w:r w:rsidRPr="00BB2874" w:rsidR="00571C4B">
        <w:rPr>
          <w:rFonts w:cs="Arial"/>
          <w:sz w:val="22"/>
          <w:szCs w:val="22"/>
        </w:rPr>
        <w:t xml:space="preserve"> can be contacted at:</w:t>
      </w:r>
      <w:bookmarkEnd w:id="0"/>
      <w:r w:rsidRPr="00BB2874" w:rsidR="00571C4B">
        <w:rPr>
          <w:rFonts w:cs="Arial"/>
          <w:sz w:val="22"/>
          <w:szCs w:val="22"/>
        </w:rPr>
        <w:t xml:space="preserve"> </w:t>
      </w:r>
    </w:p>
    <w:p w:rsidR="008970DE" w:rsidRPr="00BB2874" w:rsidP="00944210">
      <w:pPr>
        <w:pStyle w:val="BodyText3"/>
        <w:keepNext/>
        <w:tabs>
          <w:tab w:val="left" w:pos="3119"/>
        </w:tabs>
        <w:ind w:left="3119" w:hanging="1701"/>
        <w:rPr>
          <w:rFonts w:cs="Arial"/>
          <w:color w:val="auto"/>
          <w:sz w:val="22"/>
          <w:szCs w:val="22"/>
          <w:shd w:val="clear" w:color="auto" w:fill="auto"/>
        </w:rPr>
      </w:pPr>
      <w:r w:rsidRPr="00BB2874">
        <w:rPr>
          <w:rFonts w:cs="Arial"/>
          <w:sz w:val="22"/>
          <w:szCs w:val="22"/>
        </w:rPr>
        <w:t>Mailing address:</w:t>
      </w:r>
      <w:r w:rsidRPr="00BB2874">
        <w:rPr>
          <w:rFonts w:cs="Arial"/>
          <w:sz w:val="22"/>
          <w:szCs w:val="22"/>
        </w:rPr>
        <w:tab/>
      </w:r>
      <w:r w:rsidRPr="00BB2874" w:rsidR="0035318A">
        <w:rPr>
          <w:rFonts w:cs="Arial"/>
          <w:sz w:val="22"/>
          <w:szCs w:val="22"/>
        </w:rPr>
        <w:t>GPO Box 3931, Sydney NSW 2001</w:t>
      </w:r>
      <w:r w:rsidRPr="00BB2874" w:rsidR="00F01707">
        <w:rPr>
          <w:rFonts w:cs="Arial"/>
          <w:sz w:val="22"/>
          <w:szCs w:val="22"/>
        </w:rPr>
        <w:t xml:space="preserve"> (Attention: </w:t>
      </w:r>
      <w:r w:rsidRPr="00BB2874" w:rsidR="004D6E8D">
        <w:rPr>
          <w:rFonts w:cs="Arial"/>
          <w:sz w:val="22"/>
          <w:szCs w:val="22"/>
        </w:rPr>
        <w:t>Sandra O’Sullivan</w:t>
      </w:r>
      <w:r w:rsidRPr="00BB2874" w:rsidR="00F01707">
        <w:rPr>
          <w:rFonts w:cs="Arial"/>
          <w:sz w:val="22"/>
          <w:szCs w:val="22"/>
        </w:rPr>
        <w:t>)</w:t>
      </w:r>
    </w:p>
    <w:p w:rsidR="008970DE" w:rsidRPr="00BB2874" w:rsidP="00517D31">
      <w:pPr>
        <w:pStyle w:val="Default"/>
        <w:keepNext/>
        <w:tabs>
          <w:tab w:val="left" w:pos="3119"/>
        </w:tabs>
        <w:ind w:left="720" w:firstLine="720"/>
        <w:rPr>
          <w:color w:val="000000"/>
          <w:sz w:val="22"/>
          <w:szCs w:val="22"/>
          <w:shd w:val="clear" w:color="auto" w:fill="auto"/>
        </w:rPr>
      </w:pPr>
      <w:r w:rsidRPr="00BB2874">
        <w:rPr>
          <w:sz w:val="22"/>
          <w:szCs w:val="22"/>
        </w:rPr>
        <w:t xml:space="preserve">Tel:  </w:t>
      </w:r>
      <w:r w:rsidRPr="00BB2874" w:rsidR="00D10EB0">
        <w:rPr>
          <w:sz w:val="22"/>
          <w:szCs w:val="22"/>
        </w:rPr>
        <w:tab/>
      </w:r>
      <w:r w:rsidRPr="00BB2874">
        <w:rPr>
          <w:sz w:val="22"/>
          <w:szCs w:val="22"/>
        </w:rPr>
        <w:t xml:space="preserve">+61 </w:t>
      </w:r>
      <w:r w:rsidRPr="00BB2874" w:rsidR="00D631AB">
        <w:rPr>
          <w:sz w:val="22"/>
          <w:szCs w:val="22"/>
        </w:rPr>
        <w:t>2 8062 42</w:t>
      </w:r>
      <w:r w:rsidRPr="00BB2874" w:rsidR="004D6E8D">
        <w:rPr>
          <w:sz w:val="22"/>
          <w:szCs w:val="22"/>
        </w:rPr>
        <w:t>00</w:t>
      </w:r>
    </w:p>
    <w:p w:rsidR="008970DE" w:rsidRPr="00BB2874" w:rsidP="00D10EB0">
      <w:pPr>
        <w:pStyle w:val="Default"/>
        <w:keepNext/>
        <w:tabs>
          <w:tab w:val="left" w:pos="3119"/>
        </w:tabs>
        <w:ind w:left="720" w:firstLine="720"/>
        <w:rPr>
          <w:color w:val="000000"/>
          <w:sz w:val="22"/>
          <w:szCs w:val="22"/>
          <w:shd w:val="clear" w:color="auto" w:fill="auto"/>
        </w:rPr>
      </w:pPr>
      <w:r w:rsidRPr="00BB2874">
        <w:rPr>
          <w:sz w:val="22"/>
          <w:szCs w:val="22"/>
        </w:rPr>
        <w:t xml:space="preserve">Fax: </w:t>
      </w:r>
      <w:r w:rsidRPr="00BB2874" w:rsidR="00D10EB0">
        <w:rPr>
          <w:sz w:val="22"/>
          <w:szCs w:val="22"/>
        </w:rPr>
        <w:tab/>
      </w:r>
      <w:r w:rsidRPr="00BB2874">
        <w:rPr>
          <w:sz w:val="22"/>
          <w:szCs w:val="22"/>
        </w:rPr>
        <w:t xml:space="preserve">+61 </w:t>
      </w:r>
      <w:r w:rsidRPr="00BB2874" w:rsidR="004D6E8D">
        <w:rPr>
          <w:sz w:val="22"/>
          <w:szCs w:val="22"/>
        </w:rPr>
        <w:t xml:space="preserve">2 8062 4299 </w:t>
      </w:r>
    </w:p>
    <w:p w:rsidR="00D10EB0" w:rsidRPr="00BB2874" w:rsidP="00D10EB0">
      <w:pPr>
        <w:pStyle w:val="Default"/>
        <w:keepNext/>
        <w:tabs>
          <w:tab w:val="left" w:pos="3119"/>
        </w:tabs>
        <w:ind w:left="720" w:firstLine="720"/>
        <w:rPr>
          <w:color w:val="0000FF"/>
          <w:sz w:val="22"/>
          <w:szCs w:val="22"/>
          <w:shd w:val="clear" w:color="auto" w:fill="auto"/>
        </w:rPr>
      </w:pPr>
      <w:r w:rsidRPr="00BB2874">
        <w:rPr>
          <w:sz w:val="22"/>
          <w:szCs w:val="22"/>
        </w:rPr>
        <w:t xml:space="preserve">Email: </w:t>
      </w:r>
      <w:r w:rsidRPr="00BB2874">
        <w:rPr>
          <w:sz w:val="22"/>
          <w:szCs w:val="22"/>
        </w:rPr>
        <w:tab/>
      </w:r>
      <w:r>
        <w:fldChar w:fldCharType="begin"/>
      </w:r>
      <w:r>
        <w:instrText xml:space="preserve"> HYPERLINK "mailto:complianceaustralia@enstargroup.com" </w:instrText>
      </w:r>
      <w:r>
        <w:fldChar w:fldCharType="separate"/>
      </w:r>
      <w:r w:rsidRPr="00BB2874" w:rsidR="004D6E8D">
        <w:rPr>
          <w:rStyle w:val="Hyperlink"/>
          <w:sz w:val="22"/>
          <w:szCs w:val="22"/>
        </w:rPr>
        <w:t>complianceaustralia@enstargroup.com</w:t>
      </w:r>
      <w:r>
        <w:fldChar w:fldCharType="end"/>
      </w:r>
    </w:p>
    <w:p w:rsidR="004D6E8D" w:rsidRPr="00BB2874" w:rsidP="00D10EB0">
      <w:pPr>
        <w:pStyle w:val="Default"/>
        <w:keepNext/>
        <w:tabs>
          <w:tab w:val="left" w:pos="3119"/>
        </w:tabs>
        <w:ind w:left="720" w:firstLine="720"/>
        <w:rPr>
          <w:color w:val="0000FF"/>
          <w:sz w:val="22"/>
          <w:szCs w:val="22"/>
          <w:shd w:val="clear" w:color="auto" w:fill="auto"/>
        </w:rPr>
      </w:pPr>
    </w:p>
    <w:p w:rsidR="008970DE" w:rsidRPr="00BB2874" w:rsidP="000C11D5">
      <w:pPr>
        <w:pStyle w:val="Heading1"/>
        <w:rPr>
          <w:rFonts w:cs="Arial"/>
          <w:color w:val="auto"/>
          <w:sz w:val="22"/>
          <w:szCs w:val="22"/>
          <w:shd w:val="clear" w:color="auto" w:fill="auto"/>
        </w:rPr>
      </w:pPr>
      <w:bookmarkStart w:id="1" w:name="_Ref13736419"/>
      <w:r w:rsidRPr="00BB2874">
        <w:rPr>
          <w:rFonts w:cs="Arial"/>
          <w:sz w:val="22"/>
          <w:szCs w:val="22"/>
        </w:rPr>
        <w:t>GLA</w:t>
      </w:r>
      <w:r w:rsidRPr="00BB2874" w:rsidR="00D50064">
        <w:rPr>
          <w:rFonts w:cs="Arial"/>
          <w:sz w:val="22"/>
          <w:szCs w:val="22"/>
        </w:rPr>
        <w:t xml:space="preserve"> is </w:t>
      </w:r>
      <w:r w:rsidRPr="00BB2874">
        <w:rPr>
          <w:rFonts w:cs="Arial"/>
          <w:sz w:val="22"/>
          <w:szCs w:val="22"/>
        </w:rPr>
        <w:t xml:space="preserve">a company organised under the laws of </w:t>
      </w:r>
      <w:r w:rsidRPr="00BB2874" w:rsidR="00D50064">
        <w:rPr>
          <w:rFonts w:cs="Arial"/>
          <w:sz w:val="22"/>
          <w:szCs w:val="22"/>
        </w:rPr>
        <w:t xml:space="preserve">the Federal Republic of </w:t>
      </w:r>
      <w:r w:rsidRPr="00BB2874">
        <w:rPr>
          <w:rFonts w:cs="Arial"/>
          <w:sz w:val="22"/>
          <w:szCs w:val="22"/>
        </w:rPr>
        <w:t>Germany</w:t>
      </w:r>
      <w:r w:rsidRPr="00BB2874" w:rsidR="000C11D5">
        <w:rPr>
          <w:rFonts w:cs="Arial"/>
          <w:sz w:val="22"/>
          <w:szCs w:val="22"/>
        </w:rPr>
        <w:t xml:space="preserve">.  It is a subsidiary of </w:t>
      </w:r>
      <w:r w:rsidRPr="00BB2874" w:rsidR="000C11D5">
        <w:rPr>
          <w:rFonts w:cs="Arial"/>
          <w:sz w:val="22"/>
          <w:szCs w:val="22"/>
        </w:rPr>
        <w:t>Münchener</w:t>
      </w:r>
      <w:r w:rsidRPr="00BB2874" w:rsidR="000C11D5">
        <w:rPr>
          <w:rFonts w:cs="Arial"/>
          <w:sz w:val="22"/>
          <w:szCs w:val="22"/>
        </w:rPr>
        <w:t xml:space="preserve"> Rückversicherungs-Gesellschaft (commonly referred to as </w:t>
      </w:r>
      <w:r w:rsidRPr="00BB2874" w:rsidR="000C11D5">
        <w:rPr>
          <w:rFonts w:cs="Arial"/>
          <w:b/>
          <w:sz w:val="22"/>
          <w:szCs w:val="22"/>
        </w:rPr>
        <w:t>Munich Re</w:t>
      </w:r>
      <w:r w:rsidRPr="00BB2874" w:rsidR="000C11D5">
        <w:rPr>
          <w:rFonts w:cs="Arial"/>
          <w:sz w:val="22"/>
          <w:szCs w:val="22"/>
        </w:rPr>
        <w:t xml:space="preserve">).  </w:t>
      </w:r>
      <w:r w:rsidRPr="00BB2874" w:rsidR="000C11D5">
        <w:rPr>
          <w:rFonts w:cs="Arial"/>
          <w:sz w:val="22"/>
          <w:szCs w:val="22"/>
        </w:rPr>
        <w:t>GLA</w:t>
      </w:r>
      <w:r w:rsidRPr="00BB2874">
        <w:rPr>
          <w:rFonts w:cs="Arial"/>
          <w:sz w:val="22"/>
          <w:szCs w:val="22"/>
        </w:rPr>
        <w:t xml:space="preserve"> is authorised to carry on insurance business in Australia under the Insurance Act through its Australian branch.  </w:t>
      </w:r>
      <w:r w:rsidRPr="00BB2874">
        <w:rPr>
          <w:rFonts w:cs="Arial"/>
          <w:sz w:val="22"/>
          <w:szCs w:val="22"/>
        </w:rPr>
        <w:t>GLA</w:t>
      </w:r>
      <w:r w:rsidRPr="00BB2874">
        <w:rPr>
          <w:rFonts w:cs="Arial"/>
          <w:sz w:val="22"/>
          <w:szCs w:val="22"/>
        </w:rPr>
        <w:t xml:space="preserve"> is regulated by APRA.</w:t>
      </w:r>
      <w:r w:rsidRPr="00BB2874" w:rsidR="00D50064">
        <w:rPr>
          <w:rFonts w:cs="Arial"/>
          <w:sz w:val="22"/>
          <w:szCs w:val="22"/>
        </w:rPr>
        <w:t xml:space="preserve"> It can be contacted at</w:t>
      </w:r>
      <w:r w:rsidRPr="00BB2874" w:rsidR="00571C4B">
        <w:rPr>
          <w:rFonts w:cs="Arial"/>
          <w:sz w:val="22"/>
          <w:szCs w:val="22"/>
        </w:rPr>
        <w:t>:</w:t>
      </w:r>
      <w:bookmarkEnd w:id="1"/>
      <w:r w:rsidRPr="00BB2874" w:rsidR="00571C4B">
        <w:rPr>
          <w:rFonts w:cs="Arial"/>
          <w:sz w:val="22"/>
          <w:szCs w:val="22"/>
        </w:rPr>
        <w:t xml:space="preserve"> </w:t>
      </w:r>
    </w:p>
    <w:p w:rsidR="008324D9" w:rsidRPr="00BB2874" w:rsidP="00EA22D4">
      <w:pPr>
        <w:pStyle w:val="BodyText3"/>
        <w:keepNext/>
        <w:tabs>
          <w:tab w:val="left" w:pos="3119"/>
        </w:tabs>
        <w:ind w:left="3119" w:hanging="1701"/>
        <w:rPr>
          <w:rFonts w:cs="Arial"/>
          <w:color w:val="auto"/>
          <w:sz w:val="22"/>
          <w:szCs w:val="22"/>
          <w:shd w:val="clear" w:color="auto" w:fill="auto"/>
        </w:rPr>
      </w:pPr>
      <w:r w:rsidRPr="00BB2874">
        <w:rPr>
          <w:rFonts w:cs="Arial"/>
          <w:sz w:val="22"/>
          <w:szCs w:val="22"/>
        </w:rPr>
        <w:t>Mailing address:</w:t>
      </w:r>
      <w:r w:rsidRPr="00BB2874" w:rsidR="00EA22D4">
        <w:rPr>
          <w:rFonts w:cs="Arial"/>
          <w:sz w:val="22"/>
          <w:szCs w:val="22"/>
        </w:rPr>
        <w:tab/>
        <w:t xml:space="preserve">Great Lakes Australia, PO Box </w:t>
      </w:r>
      <w:r w:rsidRPr="00BB2874" w:rsidR="00EA22D4">
        <w:rPr>
          <w:rFonts w:cs="Arial"/>
          <w:sz w:val="22"/>
          <w:szCs w:val="22"/>
        </w:rPr>
        <w:t>H35</w:t>
      </w:r>
      <w:r w:rsidRPr="00BB2874" w:rsidR="00EA22D4">
        <w:rPr>
          <w:rFonts w:cs="Arial"/>
          <w:sz w:val="22"/>
          <w:szCs w:val="22"/>
        </w:rPr>
        <w:t>, Australia Square, Sydney NSW 1215 Australia (Attention: Shalaj Aggarwal)</w:t>
      </w:r>
    </w:p>
    <w:p w:rsidR="008324D9" w:rsidRPr="00BB2874" w:rsidP="00944210">
      <w:pPr>
        <w:pStyle w:val="Default"/>
        <w:keepNext/>
        <w:tabs>
          <w:tab w:val="left" w:pos="3119"/>
        </w:tabs>
        <w:ind w:left="720" w:firstLine="720"/>
        <w:rPr>
          <w:b/>
          <w:bCs/>
          <w:color w:val="000000"/>
          <w:sz w:val="22"/>
          <w:szCs w:val="22"/>
          <w:shd w:val="clear" w:color="auto" w:fill="auto"/>
        </w:rPr>
      </w:pPr>
      <w:r w:rsidRPr="00BB2874">
        <w:rPr>
          <w:sz w:val="22"/>
          <w:szCs w:val="22"/>
        </w:rPr>
        <w:t xml:space="preserve">Tel:  </w:t>
      </w:r>
      <w:r w:rsidRPr="00BB2874">
        <w:rPr>
          <w:sz w:val="22"/>
          <w:szCs w:val="22"/>
        </w:rPr>
        <w:tab/>
      </w:r>
      <w:r w:rsidRPr="00BB2874" w:rsidR="00944210">
        <w:rPr>
          <w:bCs/>
          <w:sz w:val="22"/>
          <w:szCs w:val="22"/>
        </w:rPr>
        <w:t>1300  307</w:t>
      </w:r>
      <w:r w:rsidRPr="00BB2874" w:rsidR="00813FFE">
        <w:rPr>
          <w:bCs/>
          <w:sz w:val="22"/>
          <w:szCs w:val="22"/>
        </w:rPr>
        <w:t xml:space="preserve"> </w:t>
      </w:r>
      <w:r w:rsidRPr="00BB2874" w:rsidR="00944210">
        <w:rPr>
          <w:bCs/>
          <w:sz w:val="22"/>
          <w:szCs w:val="22"/>
        </w:rPr>
        <w:t>066 (toll-free Australia)</w:t>
      </w:r>
      <w:r w:rsidRPr="00BB2874" w:rsidR="00944210">
        <w:rPr>
          <w:sz w:val="22"/>
          <w:szCs w:val="22"/>
        </w:rPr>
        <w:t>.</w:t>
      </w:r>
    </w:p>
    <w:p w:rsidR="008324D9" w:rsidRPr="00BB2874" w:rsidP="008324D9">
      <w:pPr>
        <w:pStyle w:val="Default"/>
        <w:keepNext/>
        <w:tabs>
          <w:tab w:val="left" w:pos="3119"/>
        </w:tabs>
        <w:ind w:left="720" w:firstLine="720"/>
        <w:rPr>
          <w:color w:val="0000FF"/>
          <w:sz w:val="22"/>
          <w:szCs w:val="22"/>
          <w:shd w:val="clear" w:color="auto" w:fill="auto"/>
        </w:rPr>
      </w:pPr>
      <w:r w:rsidRPr="00BB2874">
        <w:rPr>
          <w:sz w:val="22"/>
          <w:szCs w:val="22"/>
        </w:rPr>
        <w:t xml:space="preserve">Email: </w:t>
      </w:r>
      <w:r w:rsidRPr="00BB2874">
        <w:rPr>
          <w:sz w:val="22"/>
          <w:szCs w:val="22"/>
        </w:rPr>
        <w:tab/>
      </w:r>
      <w:r>
        <w:fldChar w:fldCharType="begin"/>
      </w:r>
      <w:r>
        <w:instrText xml:space="preserve"> HYPERLINK "mailto:GLAPORTFOLIOTRANSFER@MUNICHRE.COM" </w:instrText>
      </w:r>
      <w:r>
        <w:fldChar w:fldCharType="separate"/>
      </w:r>
      <w:r w:rsidRPr="00BB2874" w:rsidR="00944210">
        <w:rPr>
          <w:rStyle w:val="Hyperlink"/>
          <w:sz w:val="22"/>
          <w:szCs w:val="22"/>
        </w:rPr>
        <w:t>glaportfoliotransfer@munichre.com</w:t>
      </w:r>
      <w:r>
        <w:fldChar w:fldCharType="end"/>
      </w:r>
      <w:r w:rsidRPr="00BB2874" w:rsidR="00944210">
        <w:rPr>
          <w:rStyle w:val="Hyperlink"/>
          <w:sz w:val="22"/>
          <w:szCs w:val="22"/>
        </w:rPr>
        <w:t xml:space="preserve"> </w:t>
      </w:r>
    </w:p>
    <w:p w:rsidR="002A1DB0" w:rsidRPr="00BB2874" w:rsidP="005563FD">
      <w:pPr>
        <w:pStyle w:val="Heading1"/>
        <w:rPr>
          <w:rFonts w:cs="Arial"/>
          <w:b/>
          <w:bCs/>
          <w:color w:val="auto"/>
          <w:sz w:val="22"/>
          <w:szCs w:val="22"/>
          <w:shd w:val="clear" w:color="auto" w:fill="auto"/>
        </w:rPr>
      </w:pPr>
      <w:r w:rsidRPr="00BB2874">
        <w:rPr>
          <w:rFonts w:cs="Arial"/>
          <w:sz w:val="22"/>
          <w:szCs w:val="22"/>
        </w:rPr>
        <w:t xml:space="preserve">If you would like to know more about the Scheme or any information contained in this summary, or if you would like to obtain a copy of the Scheme Documents free of charge, please contact </w:t>
      </w:r>
      <w:r w:rsidRPr="00BB2874">
        <w:rPr>
          <w:rFonts w:cs="Arial"/>
          <w:sz w:val="22"/>
          <w:szCs w:val="22"/>
        </w:rPr>
        <w:t>GLA</w:t>
      </w:r>
      <w:r w:rsidRPr="00BB2874">
        <w:rPr>
          <w:rFonts w:cs="Arial"/>
          <w:sz w:val="22"/>
          <w:szCs w:val="22"/>
        </w:rPr>
        <w:t xml:space="preserve">.  </w:t>
      </w:r>
      <w:r w:rsidRPr="00BB2874" w:rsidR="00CC3FEE">
        <w:rPr>
          <w:rFonts w:cs="Arial"/>
          <w:sz w:val="22"/>
          <w:szCs w:val="22"/>
        </w:rPr>
        <w:t>GLA's</w:t>
      </w:r>
      <w:r w:rsidRPr="00BB2874">
        <w:rPr>
          <w:rFonts w:cs="Arial"/>
          <w:sz w:val="22"/>
          <w:szCs w:val="22"/>
        </w:rPr>
        <w:t xml:space="preserve"> contact details are above</w:t>
      </w:r>
      <w:r w:rsidRPr="00BB2874" w:rsidR="00CC3FEE">
        <w:rPr>
          <w:rFonts w:cs="Arial"/>
          <w:sz w:val="22"/>
          <w:szCs w:val="22"/>
        </w:rPr>
        <w:t>.</w:t>
      </w:r>
    </w:p>
    <w:p w:rsidR="008970DE" w:rsidRPr="00BB2874" w:rsidP="006C66DF">
      <w:pPr>
        <w:pStyle w:val="BodyText1"/>
        <w:rPr>
          <w:rFonts w:cs="Arial"/>
          <w:b/>
          <w:bCs/>
          <w:color w:val="auto"/>
          <w:sz w:val="22"/>
          <w:szCs w:val="22"/>
          <w:shd w:val="clear" w:color="auto" w:fill="auto"/>
        </w:rPr>
      </w:pPr>
      <w:r w:rsidRPr="00BB2874">
        <w:rPr>
          <w:rFonts w:cs="Arial"/>
          <w:b/>
          <w:bCs/>
          <w:sz w:val="22"/>
          <w:szCs w:val="22"/>
        </w:rPr>
        <w:t>Details of the Scheme</w:t>
      </w:r>
      <w:r w:rsidRPr="00BB2874" w:rsidR="00CA0C48">
        <w:rPr>
          <w:rFonts w:cs="Arial"/>
          <w:b/>
          <w:bCs/>
          <w:sz w:val="22"/>
          <w:szCs w:val="22"/>
        </w:rPr>
        <w:t xml:space="preserve">  </w:t>
      </w:r>
    </w:p>
    <w:p w:rsidR="008970DE" w:rsidRPr="00BB2874" w:rsidP="0035318A">
      <w:pPr>
        <w:pStyle w:val="Heading1"/>
        <w:rPr>
          <w:rFonts w:cs="Arial"/>
          <w:color w:val="auto"/>
          <w:sz w:val="22"/>
          <w:szCs w:val="22"/>
          <w:shd w:val="clear" w:color="auto" w:fill="auto"/>
        </w:rPr>
      </w:pPr>
      <w:r w:rsidRPr="00BB2874">
        <w:rPr>
          <w:rFonts w:cs="Arial"/>
          <w:sz w:val="22"/>
          <w:szCs w:val="22"/>
        </w:rPr>
        <w:t xml:space="preserve">The Scheme will result in a transfer of </w:t>
      </w:r>
      <w:r w:rsidRPr="00BB2874" w:rsidR="00140E4F">
        <w:rPr>
          <w:rFonts w:cs="Arial"/>
          <w:sz w:val="22"/>
          <w:szCs w:val="22"/>
        </w:rPr>
        <w:t xml:space="preserve">certain </w:t>
      </w:r>
      <w:r w:rsidRPr="00BB2874">
        <w:rPr>
          <w:rFonts w:cs="Arial"/>
          <w:sz w:val="22"/>
          <w:szCs w:val="22"/>
        </w:rPr>
        <w:t xml:space="preserve">assets and liabilities of </w:t>
      </w:r>
      <w:r w:rsidRPr="00BB2874" w:rsidR="0035318A">
        <w:rPr>
          <w:rFonts w:cs="Arial"/>
          <w:sz w:val="22"/>
          <w:szCs w:val="22"/>
        </w:rPr>
        <w:t>GLA</w:t>
      </w:r>
      <w:r w:rsidRPr="00BB2874">
        <w:rPr>
          <w:rFonts w:cs="Arial"/>
          <w:sz w:val="22"/>
          <w:szCs w:val="22"/>
        </w:rPr>
        <w:t xml:space="preserve"> to </w:t>
      </w:r>
      <w:r w:rsidRPr="00BB2874" w:rsidR="0035318A">
        <w:rPr>
          <w:rFonts w:cs="Arial"/>
          <w:sz w:val="22"/>
          <w:szCs w:val="22"/>
        </w:rPr>
        <w:t>Gordian</w:t>
      </w:r>
      <w:r w:rsidRPr="00BB2874">
        <w:rPr>
          <w:rFonts w:cs="Arial"/>
          <w:sz w:val="22"/>
          <w:szCs w:val="22"/>
        </w:rPr>
        <w:t xml:space="preserve">, including the </w:t>
      </w:r>
      <w:r w:rsidRPr="00BB2874" w:rsidR="0035318A">
        <w:rPr>
          <w:rFonts w:cs="Arial"/>
          <w:sz w:val="22"/>
          <w:szCs w:val="22"/>
        </w:rPr>
        <w:t>GLA</w:t>
      </w:r>
      <w:r w:rsidRPr="00BB2874">
        <w:rPr>
          <w:rFonts w:cs="Arial"/>
          <w:sz w:val="22"/>
          <w:szCs w:val="22"/>
        </w:rPr>
        <w:t xml:space="preserve"> Business comprising the </w:t>
      </w:r>
      <w:r w:rsidRPr="00BB2874" w:rsidR="0035318A">
        <w:rPr>
          <w:rFonts w:cs="Arial"/>
          <w:sz w:val="22"/>
          <w:szCs w:val="22"/>
        </w:rPr>
        <w:t>Transferring Policies</w:t>
      </w:r>
      <w:r w:rsidRPr="00BB2874">
        <w:rPr>
          <w:rFonts w:cs="Arial"/>
          <w:sz w:val="22"/>
          <w:szCs w:val="22"/>
        </w:rPr>
        <w:t xml:space="preserve"> and all liabilities arising under them. Certain other business assets and liabilities of </w:t>
      </w:r>
      <w:r w:rsidRPr="00BB2874" w:rsidR="0035318A">
        <w:rPr>
          <w:rFonts w:cs="Arial"/>
          <w:sz w:val="22"/>
          <w:szCs w:val="22"/>
        </w:rPr>
        <w:t>GLA</w:t>
      </w:r>
      <w:r w:rsidRPr="00BB2874">
        <w:rPr>
          <w:rFonts w:cs="Arial"/>
          <w:sz w:val="22"/>
          <w:szCs w:val="22"/>
        </w:rPr>
        <w:t xml:space="preserve"> will also be transferred to </w:t>
      </w:r>
      <w:r w:rsidRPr="00BB2874" w:rsidR="0035318A">
        <w:rPr>
          <w:rFonts w:cs="Arial"/>
          <w:sz w:val="22"/>
          <w:szCs w:val="22"/>
        </w:rPr>
        <w:t xml:space="preserve">Gordian </w:t>
      </w:r>
      <w:r w:rsidRPr="00BB2874">
        <w:rPr>
          <w:rFonts w:cs="Arial"/>
          <w:sz w:val="22"/>
          <w:szCs w:val="22"/>
        </w:rPr>
        <w:t>pursuant to the Scheme</w:t>
      </w:r>
      <w:r w:rsidRPr="00BB2874" w:rsidR="00A86365">
        <w:rPr>
          <w:rFonts w:cs="Arial"/>
          <w:sz w:val="22"/>
          <w:szCs w:val="22"/>
        </w:rPr>
        <w:t xml:space="preserve">, including certain contracts with third parties engaged by </w:t>
      </w:r>
      <w:r w:rsidRPr="00BB2874" w:rsidR="001955BD">
        <w:rPr>
          <w:rFonts w:cs="Arial"/>
          <w:sz w:val="22"/>
          <w:szCs w:val="22"/>
        </w:rPr>
        <w:t>GLA</w:t>
      </w:r>
      <w:r w:rsidRPr="00BB2874" w:rsidR="00A86365">
        <w:rPr>
          <w:rFonts w:cs="Arial"/>
          <w:sz w:val="22"/>
          <w:szCs w:val="22"/>
        </w:rPr>
        <w:t xml:space="preserve"> in underwriting and claims management, and business and claims records releva</w:t>
      </w:r>
      <w:r w:rsidRPr="00BB2874" w:rsidR="00A46613">
        <w:rPr>
          <w:rFonts w:cs="Arial"/>
          <w:sz w:val="22"/>
          <w:szCs w:val="22"/>
        </w:rPr>
        <w:t>nt to the Transferring Policies</w:t>
      </w:r>
      <w:r w:rsidRPr="00BB2874">
        <w:rPr>
          <w:rFonts w:cs="Arial"/>
          <w:sz w:val="22"/>
          <w:szCs w:val="22"/>
        </w:rPr>
        <w:t xml:space="preserve">. </w:t>
      </w:r>
    </w:p>
    <w:p w:rsidR="008970DE" w:rsidRPr="00BB2874" w:rsidP="006C66DF">
      <w:pPr>
        <w:pStyle w:val="Heading1"/>
        <w:rPr>
          <w:rFonts w:cs="Arial"/>
          <w:color w:val="auto"/>
          <w:sz w:val="22"/>
          <w:szCs w:val="22"/>
          <w:shd w:val="clear" w:color="auto" w:fill="auto"/>
        </w:rPr>
      </w:pPr>
      <w:r w:rsidRPr="00BB2874">
        <w:rPr>
          <w:rFonts w:cs="Arial"/>
          <w:sz w:val="22"/>
          <w:szCs w:val="22"/>
        </w:rPr>
        <w:t xml:space="preserve">Subject to the Scheme being confirmed by the Court, the </w:t>
      </w:r>
      <w:r w:rsidRPr="00BB2874" w:rsidR="0035318A">
        <w:rPr>
          <w:rFonts w:cs="Arial"/>
          <w:sz w:val="22"/>
          <w:szCs w:val="22"/>
        </w:rPr>
        <w:t>GLA</w:t>
      </w:r>
      <w:r w:rsidRPr="00BB2874">
        <w:rPr>
          <w:rFonts w:cs="Arial"/>
          <w:sz w:val="22"/>
          <w:szCs w:val="22"/>
        </w:rPr>
        <w:t xml:space="preserve"> Business will be </w:t>
      </w:r>
      <w:r w:rsidRPr="008245E3">
        <w:rPr>
          <w:rFonts w:cs="Arial"/>
          <w:sz w:val="22"/>
          <w:szCs w:val="22"/>
        </w:rPr>
        <w:t xml:space="preserve">transferred to </w:t>
      </w:r>
      <w:r w:rsidRPr="008245E3" w:rsidR="0035318A">
        <w:rPr>
          <w:rFonts w:cs="Arial"/>
          <w:sz w:val="22"/>
          <w:szCs w:val="22"/>
        </w:rPr>
        <w:t>Gordian</w:t>
      </w:r>
      <w:r w:rsidRPr="008245E3" w:rsidR="003B1773">
        <w:rPr>
          <w:rFonts w:cs="Arial"/>
          <w:sz w:val="22"/>
          <w:szCs w:val="22"/>
        </w:rPr>
        <w:t xml:space="preserve"> </w:t>
      </w:r>
      <w:r w:rsidRPr="008245E3">
        <w:rPr>
          <w:rFonts w:cs="Arial"/>
          <w:sz w:val="22"/>
          <w:szCs w:val="22"/>
        </w:rPr>
        <w:t xml:space="preserve">in accordance with the terms of the Scheme on or around </w:t>
      </w:r>
      <w:r w:rsidRPr="008245E3" w:rsidR="00BB7DDB">
        <w:rPr>
          <w:rFonts w:cs="Arial"/>
          <w:sz w:val="22"/>
          <w:szCs w:val="22"/>
        </w:rPr>
        <w:t>1 July 2020</w:t>
      </w:r>
      <w:r w:rsidRPr="00BB2874" w:rsidR="006C66DF">
        <w:rPr>
          <w:rFonts w:cs="Arial"/>
          <w:sz w:val="22"/>
          <w:szCs w:val="22"/>
        </w:rPr>
        <w:t xml:space="preserve"> </w:t>
      </w:r>
      <w:r w:rsidRPr="00BB2874">
        <w:rPr>
          <w:rFonts w:cs="Arial"/>
          <w:sz w:val="22"/>
          <w:szCs w:val="22"/>
        </w:rPr>
        <w:t>or such other date that the Court orders.</w:t>
      </w:r>
    </w:p>
    <w:p w:rsidR="008970DE" w:rsidRPr="00BB2874" w:rsidP="006C66DF">
      <w:pPr>
        <w:pStyle w:val="Heading1"/>
        <w:rPr>
          <w:rFonts w:cs="Arial"/>
          <w:color w:val="auto"/>
          <w:sz w:val="22"/>
          <w:szCs w:val="22"/>
          <w:shd w:val="clear" w:color="auto" w:fill="auto"/>
        </w:rPr>
      </w:pPr>
      <w:r w:rsidRPr="00BB2874">
        <w:rPr>
          <w:rFonts w:cs="Arial"/>
          <w:sz w:val="22"/>
          <w:szCs w:val="22"/>
        </w:rPr>
        <w:t>Any stamp duty and other costs and expenses incurred in connection with the Scheme will not be charged to policyholders.</w:t>
      </w:r>
    </w:p>
    <w:p w:rsidR="00137CE5" w:rsidRPr="00BB2874" w:rsidP="00137CE5">
      <w:pPr>
        <w:pStyle w:val="Heading1"/>
        <w:rPr>
          <w:rFonts w:cs="Arial"/>
          <w:color w:val="auto"/>
          <w:sz w:val="22"/>
          <w:szCs w:val="22"/>
          <w:shd w:val="clear" w:color="auto" w:fill="auto"/>
        </w:rPr>
      </w:pPr>
      <w:r w:rsidRPr="00BB2874">
        <w:rPr>
          <w:rFonts w:cs="Arial"/>
          <w:sz w:val="22"/>
          <w:szCs w:val="22"/>
        </w:rPr>
        <w:t>From the time of transfer:</w:t>
      </w:r>
    </w:p>
    <w:p w:rsidR="00137CE5" w:rsidRPr="00BB2874" w:rsidP="00137CE5">
      <w:pPr>
        <w:pStyle w:val="Heading3"/>
        <w:rPr>
          <w:rFonts w:cs="Arial"/>
          <w:color w:val="auto"/>
          <w:sz w:val="22"/>
          <w:szCs w:val="22"/>
          <w:shd w:val="clear" w:color="auto" w:fill="auto"/>
        </w:rPr>
      </w:pPr>
      <w:r w:rsidRPr="00BB2874">
        <w:rPr>
          <w:rFonts w:cs="Arial"/>
          <w:sz w:val="22"/>
          <w:szCs w:val="22"/>
        </w:rPr>
        <w:t xml:space="preserve">Gordian will be substituted for </w:t>
      </w:r>
      <w:r w:rsidRPr="00BB2874">
        <w:rPr>
          <w:rFonts w:cs="Arial"/>
          <w:sz w:val="22"/>
          <w:szCs w:val="22"/>
        </w:rPr>
        <w:t>GLA</w:t>
      </w:r>
      <w:r w:rsidRPr="00BB2874">
        <w:rPr>
          <w:rFonts w:cs="Arial"/>
          <w:sz w:val="22"/>
          <w:szCs w:val="22"/>
        </w:rPr>
        <w:t xml:space="preserve"> in all Transferring Policies (and Transferring Contracts as defined in the Framework and Transfer Deed) as if Gordian was, and at times had been, a party in place of </w:t>
      </w:r>
      <w:r w:rsidRPr="00BB2874">
        <w:rPr>
          <w:rFonts w:cs="Arial"/>
          <w:sz w:val="22"/>
          <w:szCs w:val="22"/>
        </w:rPr>
        <w:t>GLA</w:t>
      </w:r>
      <w:r w:rsidRPr="00BB2874">
        <w:rPr>
          <w:rFonts w:cs="Arial"/>
          <w:sz w:val="22"/>
          <w:szCs w:val="22"/>
        </w:rPr>
        <w:t xml:space="preserve"> under the </w:t>
      </w:r>
      <w:r w:rsidRPr="00BB2874">
        <w:rPr>
          <w:rFonts w:cs="Arial"/>
          <w:sz w:val="22"/>
          <w:szCs w:val="22"/>
        </w:rPr>
        <w:t>Transferring Policies (and Transferring Contracts as defined in the Framework and Transfer Deed).</w:t>
      </w:r>
    </w:p>
    <w:p w:rsidR="00137CE5" w:rsidRPr="00BB2874" w:rsidP="00137CE5">
      <w:pPr>
        <w:pStyle w:val="Heading3"/>
        <w:rPr>
          <w:rFonts w:cs="Arial"/>
          <w:color w:val="auto"/>
          <w:sz w:val="22"/>
          <w:szCs w:val="22"/>
          <w:shd w:val="clear" w:color="auto" w:fill="auto"/>
        </w:rPr>
      </w:pPr>
      <w:r w:rsidRPr="00BB2874">
        <w:rPr>
          <w:rFonts w:cs="Arial"/>
          <w:sz w:val="22"/>
          <w:szCs w:val="22"/>
        </w:rPr>
        <w:t xml:space="preserve">the rights, benefits and liabilities of policyholders under the Transferring Policies, and of all persons claiming through or under them will be the same in all respects as they would have been if the Transferring Policies had been issued or entered into by Gordian instead of </w:t>
      </w:r>
      <w:r w:rsidRPr="00BB2874">
        <w:rPr>
          <w:rFonts w:cs="Arial"/>
          <w:sz w:val="22"/>
          <w:szCs w:val="22"/>
        </w:rPr>
        <w:t>GLA</w:t>
      </w:r>
      <w:r w:rsidRPr="00BB2874">
        <w:rPr>
          <w:rFonts w:cs="Arial"/>
          <w:sz w:val="22"/>
          <w:szCs w:val="22"/>
        </w:rPr>
        <w:t>.</w:t>
      </w:r>
    </w:p>
    <w:p w:rsidR="00137CE5" w:rsidRPr="00BB2874" w:rsidP="00137CE5">
      <w:pPr>
        <w:pStyle w:val="Heading3"/>
        <w:rPr>
          <w:rFonts w:cs="Arial"/>
          <w:color w:val="auto"/>
          <w:sz w:val="22"/>
          <w:szCs w:val="22"/>
          <w:shd w:val="clear" w:color="auto" w:fill="auto"/>
        </w:rPr>
      </w:pPr>
      <w:r w:rsidRPr="00BB2874">
        <w:rPr>
          <w:rFonts w:cs="Arial"/>
          <w:sz w:val="22"/>
          <w:szCs w:val="22"/>
        </w:rPr>
        <w:t xml:space="preserve">all proposals, applications, declarations and representations made to </w:t>
      </w:r>
      <w:r w:rsidRPr="00BB2874">
        <w:rPr>
          <w:rFonts w:cs="Arial"/>
          <w:sz w:val="22"/>
          <w:szCs w:val="22"/>
        </w:rPr>
        <w:t>GLA</w:t>
      </w:r>
      <w:r w:rsidRPr="00BB2874">
        <w:rPr>
          <w:rFonts w:cs="Arial"/>
          <w:sz w:val="22"/>
          <w:szCs w:val="22"/>
        </w:rPr>
        <w:t xml:space="preserve"> on which any Transferring Policy is based shall as and from the </w:t>
      </w:r>
      <w:r w:rsidRPr="00BB2874" w:rsidR="00A86365">
        <w:rPr>
          <w:rFonts w:cs="Arial"/>
          <w:sz w:val="22"/>
          <w:szCs w:val="22"/>
        </w:rPr>
        <w:t>completion of the transfer</w:t>
      </w:r>
      <w:r w:rsidRPr="00BB2874">
        <w:rPr>
          <w:rFonts w:cs="Arial"/>
          <w:sz w:val="22"/>
          <w:szCs w:val="22"/>
        </w:rPr>
        <w:t xml:space="preserve"> be taken to have been made to Gordian instead of to </w:t>
      </w:r>
      <w:r w:rsidRPr="00BB2874">
        <w:rPr>
          <w:rFonts w:cs="Arial"/>
          <w:sz w:val="22"/>
          <w:szCs w:val="22"/>
        </w:rPr>
        <w:t>GLA</w:t>
      </w:r>
      <w:r w:rsidRPr="00BB2874">
        <w:rPr>
          <w:rFonts w:cs="Arial"/>
          <w:sz w:val="22"/>
          <w:szCs w:val="22"/>
        </w:rPr>
        <w:t>.</w:t>
      </w:r>
    </w:p>
    <w:p w:rsidR="00137CE5" w:rsidRPr="00BB2874" w:rsidP="00137CE5">
      <w:pPr>
        <w:pStyle w:val="Heading3"/>
        <w:rPr>
          <w:rFonts w:cs="Arial"/>
          <w:color w:val="auto"/>
          <w:sz w:val="22"/>
          <w:szCs w:val="22"/>
          <w:shd w:val="clear" w:color="auto" w:fill="auto"/>
        </w:rPr>
      </w:pPr>
      <w:r w:rsidRPr="00BB2874">
        <w:rPr>
          <w:rFonts w:cs="Arial"/>
          <w:sz w:val="22"/>
          <w:szCs w:val="22"/>
        </w:rPr>
        <w:t xml:space="preserve">any policyholder under a Transferring Policy or other person having any claim on or obligation to </w:t>
      </w:r>
      <w:r w:rsidRPr="00BB2874">
        <w:rPr>
          <w:rFonts w:cs="Arial"/>
          <w:sz w:val="22"/>
          <w:szCs w:val="22"/>
        </w:rPr>
        <w:t>GLA</w:t>
      </w:r>
      <w:r w:rsidRPr="00BB2874">
        <w:rPr>
          <w:rFonts w:cs="Arial"/>
          <w:sz w:val="22"/>
          <w:szCs w:val="22"/>
        </w:rPr>
        <w:t xml:space="preserve"> under or in respect of a Transferring Policy will have the same claim on or obligation to Gordian in substitution for that person's claim on or obligation to </w:t>
      </w:r>
      <w:r w:rsidRPr="00BB2874">
        <w:rPr>
          <w:rFonts w:cs="Arial"/>
          <w:sz w:val="22"/>
          <w:szCs w:val="22"/>
        </w:rPr>
        <w:t>GLA</w:t>
      </w:r>
      <w:r w:rsidRPr="00BB2874">
        <w:rPr>
          <w:rFonts w:cs="Arial"/>
          <w:sz w:val="22"/>
          <w:szCs w:val="22"/>
        </w:rPr>
        <w:t xml:space="preserve"> irrespective of when such claim or obligation arose. </w:t>
      </w:r>
    </w:p>
    <w:p w:rsidR="00137CE5" w:rsidRPr="00BB2874" w:rsidP="00137CE5">
      <w:pPr>
        <w:pStyle w:val="Heading3"/>
        <w:rPr>
          <w:rFonts w:cs="Arial"/>
          <w:color w:val="auto"/>
          <w:sz w:val="22"/>
          <w:szCs w:val="22"/>
          <w:shd w:val="clear" w:color="auto" w:fill="auto"/>
        </w:rPr>
      </w:pPr>
      <w:r w:rsidRPr="00BB2874">
        <w:rPr>
          <w:rFonts w:cs="Arial"/>
          <w:sz w:val="22"/>
          <w:szCs w:val="22"/>
        </w:rPr>
        <w:t xml:space="preserve">Gordian will be entitled to enforce all rights and remedies  against any policyholder or third party arising under or by virtue of any Transferring Policy (including but not limited to any claims by way of subrogation, contribution, outstanding premium and any other recoveries related directly or indirectly to any Transferring Policies) and receive and appropriate all premiums and other monies which, but for the Scheme, would have been enforceable or recoverable by </w:t>
      </w:r>
      <w:r w:rsidRPr="00BB2874">
        <w:rPr>
          <w:rFonts w:cs="Arial"/>
          <w:sz w:val="22"/>
          <w:szCs w:val="22"/>
        </w:rPr>
        <w:t>GLA</w:t>
      </w:r>
      <w:r w:rsidRPr="00BB2874">
        <w:rPr>
          <w:rFonts w:cs="Arial"/>
          <w:sz w:val="22"/>
          <w:szCs w:val="22"/>
        </w:rPr>
        <w:t xml:space="preserve"> under or in respect of the Transferring Policies. </w:t>
      </w:r>
    </w:p>
    <w:p w:rsidR="00137CE5" w:rsidRPr="00BB2874" w:rsidP="00137CE5">
      <w:pPr>
        <w:pStyle w:val="Heading3"/>
        <w:rPr>
          <w:rFonts w:cs="Arial"/>
          <w:color w:val="auto"/>
          <w:sz w:val="22"/>
          <w:szCs w:val="22"/>
          <w:shd w:val="clear" w:color="auto" w:fill="auto"/>
        </w:rPr>
      </w:pPr>
      <w:r w:rsidRPr="00BB2874">
        <w:rPr>
          <w:rFonts w:cs="Arial"/>
          <w:sz w:val="22"/>
          <w:szCs w:val="22"/>
        </w:rPr>
        <w:t xml:space="preserve">all directions, authorities, mandates or instructions given to </w:t>
      </w:r>
      <w:r w:rsidRPr="00BB2874">
        <w:rPr>
          <w:rFonts w:cs="Arial"/>
          <w:sz w:val="22"/>
          <w:szCs w:val="22"/>
        </w:rPr>
        <w:t>GLA</w:t>
      </w:r>
      <w:r w:rsidRPr="00BB2874">
        <w:rPr>
          <w:rFonts w:cs="Arial"/>
          <w:sz w:val="22"/>
          <w:szCs w:val="22"/>
        </w:rPr>
        <w:t>:</w:t>
      </w:r>
    </w:p>
    <w:p w:rsidR="00137CE5" w:rsidRPr="00BB2874" w:rsidP="00137CE5">
      <w:pPr>
        <w:pStyle w:val="Heading4"/>
        <w:rPr>
          <w:rFonts w:cs="Arial"/>
          <w:color w:val="auto"/>
          <w:sz w:val="22"/>
          <w:szCs w:val="22"/>
          <w:shd w:val="clear" w:color="auto" w:fill="auto"/>
        </w:rPr>
      </w:pPr>
      <w:r w:rsidRPr="00BB2874">
        <w:rPr>
          <w:rFonts w:cs="Arial"/>
          <w:sz w:val="22"/>
          <w:szCs w:val="22"/>
        </w:rPr>
        <w:t>to deduct premiums or fees payable in respect of the Transferring Policies (including by debiting a bank account/credit card, through automatic payroll deductions or through electronic bank transfer); or</w:t>
      </w:r>
    </w:p>
    <w:p w:rsidR="00137CE5" w:rsidRPr="00BB2874" w:rsidP="00137CE5">
      <w:pPr>
        <w:pStyle w:val="Heading4"/>
        <w:rPr>
          <w:rFonts w:cs="Arial"/>
          <w:color w:val="auto"/>
          <w:sz w:val="22"/>
          <w:szCs w:val="22"/>
          <w:shd w:val="clear" w:color="auto" w:fill="auto"/>
        </w:rPr>
      </w:pPr>
      <w:r w:rsidRPr="00BB2874">
        <w:rPr>
          <w:rFonts w:cs="Arial"/>
          <w:sz w:val="22"/>
          <w:szCs w:val="22"/>
        </w:rPr>
        <w:t xml:space="preserve">to use, disclose or obtain information in the course of carrying on the Business (including personal information within the meaning of the </w:t>
      </w:r>
      <w:r w:rsidRPr="00BB2874">
        <w:rPr>
          <w:rFonts w:cs="Arial"/>
          <w:i/>
          <w:iCs/>
          <w:sz w:val="22"/>
          <w:szCs w:val="22"/>
        </w:rPr>
        <w:t xml:space="preserve">Privacy Act 1988 </w:t>
      </w:r>
      <w:r w:rsidRPr="00BB2874">
        <w:rPr>
          <w:rFonts w:cs="Arial"/>
          <w:sz w:val="22"/>
          <w:szCs w:val="22"/>
        </w:rPr>
        <w:t>(</w:t>
      </w:r>
      <w:r w:rsidRPr="00BB2874">
        <w:rPr>
          <w:rFonts w:cs="Arial"/>
          <w:sz w:val="22"/>
          <w:szCs w:val="22"/>
        </w:rPr>
        <w:t>Cth</w:t>
      </w:r>
      <w:r w:rsidRPr="00BB2874">
        <w:rPr>
          <w:rFonts w:cs="Arial"/>
          <w:sz w:val="22"/>
          <w:szCs w:val="22"/>
        </w:rPr>
        <w:t xml:space="preserve">)), </w:t>
      </w:r>
    </w:p>
    <w:p w:rsidR="00137CE5" w:rsidRPr="00BB2874" w:rsidP="00137CE5">
      <w:pPr>
        <w:pStyle w:val="Heading4"/>
        <w:numPr>
          <w:ilvl w:val="0"/>
          <w:numId w:val="0"/>
        </w:numPr>
        <w:ind w:left="2126" w:hanging="708"/>
        <w:rPr>
          <w:rFonts w:cs="Arial"/>
          <w:color w:val="auto"/>
          <w:sz w:val="22"/>
          <w:szCs w:val="22"/>
          <w:shd w:val="clear" w:color="auto" w:fill="auto"/>
        </w:rPr>
      </w:pPr>
      <w:r w:rsidRPr="00BB2874">
        <w:rPr>
          <w:rFonts w:cs="Arial"/>
          <w:sz w:val="22"/>
          <w:szCs w:val="22"/>
        </w:rPr>
        <w:t xml:space="preserve">are deemed to be given to Gordian instead of </w:t>
      </w:r>
      <w:r w:rsidRPr="00BB2874">
        <w:rPr>
          <w:rFonts w:cs="Arial"/>
          <w:sz w:val="22"/>
          <w:szCs w:val="22"/>
        </w:rPr>
        <w:t>GLA</w:t>
      </w:r>
      <w:r w:rsidRPr="00BB2874">
        <w:rPr>
          <w:rFonts w:cs="Arial"/>
          <w:sz w:val="22"/>
          <w:szCs w:val="22"/>
        </w:rPr>
        <w:t>.</w:t>
      </w:r>
    </w:p>
    <w:p w:rsidR="00137CE5" w:rsidRPr="00BB2874" w:rsidP="00137CE5">
      <w:pPr>
        <w:pStyle w:val="Heading1"/>
        <w:rPr>
          <w:rFonts w:cs="Arial"/>
          <w:color w:val="auto"/>
          <w:sz w:val="22"/>
          <w:szCs w:val="22"/>
          <w:shd w:val="clear" w:color="auto" w:fill="auto"/>
        </w:rPr>
      </w:pPr>
      <w:r w:rsidRPr="00BB2874">
        <w:rPr>
          <w:rFonts w:cs="Arial"/>
          <w:sz w:val="22"/>
          <w:szCs w:val="22"/>
        </w:rPr>
        <w:t>Policyholders are not required to take any action before or as a result of the Scheme and the terms of the Transferring Policies will not be varied as a consequence of the Scheme, save for the substitution of Gordian as the insurer.</w:t>
      </w:r>
    </w:p>
    <w:p w:rsidR="00137CE5" w:rsidRPr="00BB2874" w:rsidP="00137CE5">
      <w:pPr>
        <w:pStyle w:val="Heading1"/>
        <w:rPr>
          <w:rFonts w:cs="Arial"/>
          <w:color w:val="auto"/>
          <w:sz w:val="22"/>
          <w:szCs w:val="22"/>
          <w:shd w:val="clear" w:color="auto" w:fill="auto"/>
        </w:rPr>
      </w:pPr>
      <w:r w:rsidRPr="00BB2874">
        <w:rPr>
          <w:rFonts w:cs="Arial"/>
          <w:sz w:val="22"/>
          <w:szCs w:val="22"/>
        </w:rPr>
        <w:t>Upon confirmation of the Scheme by the Court, the Scheme becomes binding on all parties.</w:t>
      </w:r>
    </w:p>
    <w:p w:rsidR="008970DE" w:rsidRPr="00BB2874" w:rsidP="006C66DF">
      <w:pPr>
        <w:pStyle w:val="BodyText1"/>
        <w:keepNext/>
        <w:rPr>
          <w:rFonts w:cs="Arial"/>
          <w:b/>
          <w:bCs/>
          <w:color w:val="auto"/>
          <w:sz w:val="22"/>
          <w:szCs w:val="22"/>
          <w:shd w:val="clear" w:color="auto" w:fill="auto"/>
        </w:rPr>
      </w:pPr>
      <w:r w:rsidRPr="00BB2874">
        <w:rPr>
          <w:rFonts w:cs="Arial"/>
          <w:b/>
          <w:bCs/>
          <w:sz w:val="22"/>
          <w:szCs w:val="22"/>
        </w:rPr>
        <w:t>Actuarial report</w:t>
      </w:r>
    </w:p>
    <w:p w:rsidR="008970DE" w:rsidRPr="00BB2874" w:rsidP="006C66DF">
      <w:pPr>
        <w:pStyle w:val="Heading1"/>
        <w:rPr>
          <w:rFonts w:cs="Arial"/>
          <w:color w:val="auto"/>
          <w:sz w:val="22"/>
          <w:szCs w:val="22"/>
          <w:shd w:val="clear" w:color="auto" w:fill="auto"/>
        </w:rPr>
      </w:pPr>
      <w:r w:rsidRPr="00BB2874">
        <w:rPr>
          <w:rFonts w:cs="Arial"/>
          <w:sz w:val="22"/>
          <w:szCs w:val="22"/>
        </w:rPr>
        <w:t xml:space="preserve">In support of the Scheme, </w:t>
      </w:r>
      <w:r w:rsidRPr="00BB2874" w:rsidR="006C66DF">
        <w:rPr>
          <w:rFonts w:cs="Arial"/>
          <w:sz w:val="22"/>
          <w:szCs w:val="22"/>
        </w:rPr>
        <w:t>Gordian</w:t>
      </w:r>
      <w:r w:rsidRPr="00BB2874">
        <w:rPr>
          <w:rFonts w:cs="Arial"/>
          <w:sz w:val="22"/>
          <w:szCs w:val="22"/>
        </w:rPr>
        <w:t xml:space="preserve"> and </w:t>
      </w:r>
      <w:r w:rsidRPr="00BB2874" w:rsidR="006C66DF">
        <w:rPr>
          <w:rFonts w:cs="Arial"/>
          <w:sz w:val="22"/>
          <w:szCs w:val="22"/>
        </w:rPr>
        <w:t>GLA</w:t>
      </w:r>
      <w:r w:rsidRPr="00BB2874">
        <w:rPr>
          <w:rFonts w:cs="Arial"/>
          <w:sz w:val="22"/>
          <w:szCs w:val="22"/>
        </w:rPr>
        <w:t xml:space="preserve"> have engaged </w:t>
      </w:r>
      <w:r w:rsidRPr="00BB2874" w:rsidR="00251387">
        <w:rPr>
          <w:rFonts w:cs="Arial"/>
          <w:sz w:val="22"/>
          <w:szCs w:val="22"/>
        </w:rPr>
        <w:t>Geoff Atkins</w:t>
      </w:r>
      <w:r w:rsidRPr="00BB2874" w:rsidR="006C66DF">
        <w:rPr>
          <w:rFonts w:cs="Arial"/>
          <w:sz w:val="22"/>
          <w:szCs w:val="22"/>
        </w:rPr>
        <w:t xml:space="preserve"> </w:t>
      </w:r>
      <w:r w:rsidRPr="00BB2874">
        <w:rPr>
          <w:rFonts w:cs="Arial"/>
          <w:sz w:val="22"/>
          <w:szCs w:val="22"/>
        </w:rPr>
        <w:t xml:space="preserve">of </w:t>
      </w:r>
      <w:r w:rsidRPr="00BB2874" w:rsidR="00251387">
        <w:rPr>
          <w:rFonts w:cs="Arial"/>
          <w:sz w:val="22"/>
          <w:szCs w:val="22"/>
        </w:rPr>
        <w:t>Finity</w:t>
      </w:r>
      <w:r w:rsidRPr="00BB2874" w:rsidR="00251387">
        <w:rPr>
          <w:rFonts w:cs="Arial"/>
          <w:sz w:val="22"/>
          <w:szCs w:val="22"/>
        </w:rPr>
        <w:t xml:space="preserve"> Consulting Pty Limited</w:t>
      </w:r>
      <w:r w:rsidRPr="00BB2874" w:rsidR="006C66DF">
        <w:rPr>
          <w:rFonts w:cs="Arial"/>
          <w:sz w:val="22"/>
          <w:szCs w:val="22"/>
        </w:rPr>
        <w:t xml:space="preserve"> </w:t>
      </w:r>
      <w:r w:rsidRPr="00BB2874" w:rsidR="002B5751">
        <w:rPr>
          <w:rFonts w:cs="Arial"/>
          <w:sz w:val="22"/>
          <w:szCs w:val="22"/>
        </w:rPr>
        <w:t>(</w:t>
      </w:r>
      <w:r w:rsidRPr="00BB2874" w:rsidR="002B5751">
        <w:rPr>
          <w:rFonts w:cs="Arial"/>
          <w:b/>
          <w:sz w:val="22"/>
          <w:szCs w:val="22"/>
        </w:rPr>
        <w:t>Finity</w:t>
      </w:r>
      <w:r w:rsidRPr="00BB2874" w:rsidR="002B5751">
        <w:rPr>
          <w:rFonts w:cs="Arial"/>
          <w:sz w:val="22"/>
          <w:szCs w:val="22"/>
        </w:rPr>
        <w:t xml:space="preserve">) </w:t>
      </w:r>
      <w:r w:rsidRPr="00BB2874">
        <w:rPr>
          <w:rFonts w:cs="Arial"/>
          <w:sz w:val="22"/>
          <w:szCs w:val="22"/>
        </w:rPr>
        <w:t xml:space="preserve">to prepare the Actuarial Report. </w:t>
      </w:r>
    </w:p>
    <w:p w:rsidR="00517D31" w:rsidRPr="00BB2874" w:rsidP="00517D31">
      <w:pPr>
        <w:pStyle w:val="Heading1"/>
        <w:rPr>
          <w:rFonts w:cs="Arial"/>
          <w:color w:val="auto"/>
          <w:sz w:val="22"/>
          <w:szCs w:val="22"/>
          <w:shd w:val="clear" w:color="auto" w:fill="auto"/>
        </w:rPr>
      </w:pPr>
      <w:r w:rsidRPr="00BB2874">
        <w:rPr>
          <w:rFonts w:cs="Arial"/>
          <w:sz w:val="22"/>
          <w:szCs w:val="22"/>
        </w:rPr>
        <w:t xml:space="preserve">Mr Atkins of </w:t>
      </w:r>
      <w:r w:rsidRPr="00BB2874" w:rsidR="002B5751">
        <w:rPr>
          <w:rFonts w:cs="Arial"/>
          <w:sz w:val="22"/>
          <w:szCs w:val="22"/>
        </w:rPr>
        <w:t>Finity</w:t>
      </w:r>
      <w:r w:rsidRPr="00BB2874">
        <w:rPr>
          <w:rFonts w:cs="Arial"/>
          <w:sz w:val="22"/>
          <w:szCs w:val="22"/>
        </w:rPr>
        <w:t xml:space="preserve"> has concluded that </w:t>
      </w:r>
      <w:r w:rsidRPr="00BB2874">
        <w:rPr>
          <w:rFonts w:cs="Arial"/>
          <w:iCs/>
          <w:sz w:val="22"/>
          <w:szCs w:val="22"/>
        </w:rPr>
        <w:t xml:space="preserve">the interests of policyholders of </w:t>
      </w:r>
      <w:r w:rsidRPr="00BB2874" w:rsidR="00140E4F">
        <w:rPr>
          <w:rFonts w:cs="Arial"/>
          <w:iCs/>
          <w:sz w:val="22"/>
          <w:szCs w:val="22"/>
        </w:rPr>
        <w:t>GLA</w:t>
      </w:r>
      <w:r w:rsidRPr="00BB2874" w:rsidR="00140E4F">
        <w:rPr>
          <w:rFonts w:cs="Arial"/>
          <w:iCs/>
          <w:sz w:val="22"/>
          <w:szCs w:val="22"/>
        </w:rPr>
        <w:t xml:space="preserve"> will not</w:t>
      </w:r>
      <w:r w:rsidRPr="00BB2874">
        <w:rPr>
          <w:rFonts w:cs="Arial"/>
          <w:iCs/>
          <w:sz w:val="22"/>
          <w:szCs w:val="22"/>
        </w:rPr>
        <w:t xml:space="preserve"> be adversely affected in a material way as a consequence of the Scheme</w:t>
      </w:r>
      <w:r w:rsidRPr="00BB2874" w:rsidR="00140E4F">
        <w:rPr>
          <w:rFonts w:cs="Arial"/>
          <w:iCs/>
          <w:sz w:val="22"/>
          <w:szCs w:val="22"/>
        </w:rPr>
        <w:t>, for the following reasons:</w:t>
      </w:r>
      <w:r w:rsidRPr="00BB2874">
        <w:rPr>
          <w:rFonts w:cs="Arial"/>
          <w:sz w:val="22"/>
          <w:szCs w:val="22"/>
        </w:rPr>
        <w:t xml:space="preserve"> </w:t>
      </w:r>
    </w:p>
    <w:p w:rsidR="00A40FDB" w:rsidRPr="00BB2874" w:rsidP="00A40FDB">
      <w:pPr>
        <w:pStyle w:val="Heading1"/>
        <w:numPr>
          <w:ilvl w:val="0"/>
          <w:numId w:val="0"/>
        </w:numPr>
        <w:ind w:left="709"/>
        <w:rPr>
          <w:rFonts w:cs="Arial"/>
          <w:color w:val="auto"/>
          <w:sz w:val="22"/>
          <w:szCs w:val="22"/>
          <w:shd w:val="clear" w:color="auto" w:fill="auto"/>
        </w:rPr>
      </w:pPr>
      <w:r w:rsidRPr="00BB2874">
        <w:rPr>
          <w:rFonts w:cs="Arial"/>
          <w:b/>
          <w:sz w:val="22"/>
          <w:szCs w:val="22"/>
        </w:rPr>
        <w:t>Insurance policies</w:t>
      </w:r>
    </w:p>
    <w:p w:rsidR="00944210" w:rsidRPr="00BB2874" w:rsidP="00944210">
      <w:pPr>
        <w:pStyle w:val="Heading3"/>
        <w:rPr>
          <w:rFonts w:cs="Arial"/>
          <w:color w:val="auto"/>
          <w:sz w:val="22"/>
          <w:szCs w:val="22"/>
          <w:shd w:val="clear" w:color="auto" w:fill="auto"/>
        </w:rPr>
      </w:pPr>
      <w:r w:rsidRPr="00BB2874">
        <w:rPr>
          <w:rFonts w:cs="Arial"/>
          <w:sz w:val="22"/>
          <w:szCs w:val="22"/>
        </w:rPr>
        <w:t xml:space="preserve">There will be no changes to the terms and conditions of the insurance policies issued by </w:t>
      </w:r>
      <w:r w:rsidRPr="00BB2874">
        <w:rPr>
          <w:rFonts w:cs="Arial"/>
          <w:sz w:val="22"/>
          <w:szCs w:val="22"/>
        </w:rPr>
        <w:t>GLA</w:t>
      </w:r>
      <w:r w:rsidRPr="00BB2874" w:rsidR="00C50FF3">
        <w:rPr>
          <w:rFonts w:cs="Arial"/>
          <w:sz w:val="22"/>
          <w:szCs w:val="22"/>
        </w:rPr>
        <w:t xml:space="preserve"> </w:t>
      </w:r>
      <w:r w:rsidRPr="00BB2874">
        <w:rPr>
          <w:rFonts w:cs="Arial"/>
          <w:sz w:val="22"/>
          <w:szCs w:val="22"/>
        </w:rPr>
        <w:t>as a result of the Scheme, apart from Gordian being substituted as the insurer.</w:t>
      </w:r>
    </w:p>
    <w:p w:rsidR="00090505" w:rsidRPr="00BB2874" w:rsidP="00090505">
      <w:pPr>
        <w:pStyle w:val="Heading3"/>
        <w:numPr>
          <w:ilvl w:val="0"/>
          <w:numId w:val="0"/>
        </w:numPr>
        <w:ind w:left="709"/>
        <w:rPr>
          <w:rFonts w:cs="Arial"/>
          <w:color w:val="auto"/>
          <w:sz w:val="22"/>
          <w:szCs w:val="22"/>
          <w:shd w:val="clear" w:color="auto" w:fill="auto"/>
        </w:rPr>
      </w:pPr>
      <w:r w:rsidRPr="00BB2874">
        <w:rPr>
          <w:rFonts w:cs="Arial"/>
          <w:b/>
          <w:sz w:val="22"/>
          <w:szCs w:val="22"/>
        </w:rPr>
        <w:t>Claims and claims management</w:t>
      </w:r>
    </w:p>
    <w:p w:rsidR="00973BBE" w:rsidRPr="00BB2874" w:rsidP="00944210">
      <w:pPr>
        <w:pStyle w:val="Heading3"/>
        <w:rPr>
          <w:rFonts w:cs="Arial"/>
          <w:color w:val="auto"/>
          <w:sz w:val="22"/>
          <w:szCs w:val="22"/>
          <w:shd w:val="clear" w:color="auto" w:fill="auto"/>
        </w:rPr>
      </w:pPr>
      <w:r w:rsidRPr="00BB2874">
        <w:rPr>
          <w:rFonts w:cs="Arial"/>
          <w:sz w:val="22"/>
          <w:szCs w:val="22"/>
        </w:rPr>
        <w:t xml:space="preserve">Gordian’s intention is to retain claims management practices after the Schemes. Gordian intends to, amongst other things: </w:t>
      </w:r>
    </w:p>
    <w:p w:rsidR="00C50FF3" w:rsidRPr="00BB2874" w:rsidP="00973BBE">
      <w:pPr>
        <w:pStyle w:val="Heading4"/>
        <w:rPr>
          <w:rFonts w:cs="Arial"/>
          <w:color w:val="auto"/>
          <w:sz w:val="22"/>
          <w:szCs w:val="22"/>
          <w:shd w:val="clear" w:color="auto" w:fill="auto"/>
        </w:rPr>
      </w:pPr>
      <w:r w:rsidRPr="00BB2874">
        <w:rPr>
          <w:rFonts w:cs="Arial"/>
          <w:sz w:val="22"/>
          <w:szCs w:val="22"/>
        </w:rPr>
        <w:t xml:space="preserve">retain the managing agents whose business is transferring and who have claims management authority; </w:t>
      </w:r>
    </w:p>
    <w:p w:rsidR="00973BBE" w:rsidRPr="00BB2874" w:rsidP="00973BBE">
      <w:pPr>
        <w:pStyle w:val="Heading4"/>
        <w:rPr>
          <w:rFonts w:cs="Arial"/>
          <w:color w:val="auto"/>
          <w:sz w:val="22"/>
          <w:szCs w:val="22"/>
          <w:shd w:val="clear" w:color="auto" w:fill="auto"/>
        </w:rPr>
      </w:pPr>
      <w:r w:rsidRPr="00BB2874">
        <w:rPr>
          <w:rFonts w:cs="Arial"/>
          <w:sz w:val="22"/>
          <w:szCs w:val="22"/>
        </w:rPr>
        <w:t xml:space="preserve">retain arrangements with the third party claims service provider for claims relating to certain transferring run-off portfolios; </w:t>
      </w:r>
      <w:r w:rsidRPr="00BB2874">
        <w:rPr>
          <w:rFonts w:cs="Arial"/>
          <w:sz w:val="22"/>
          <w:szCs w:val="22"/>
        </w:rPr>
        <w:t xml:space="preserve">and </w:t>
      </w:r>
    </w:p>
    <w:p w:rsidR="00973BBE" w:rsidRPr="00BB2874" w:rsidP="00973BBE">
      <w:pPr>
        <w:pStyle w:val="Heading4"/>
        <w:rPr>
          <w:rFonts w:cs="Arial"/>
          <w:color w:val="auto"/>
          <w:sz w:val="22"/>
          <w:szCs w:val="22"/>
          <w:shd w:val="clear" w:color="auto" w:fill="auto"/>
        </w:rPr>
      </w:pPr>
      <w:r w:rsidRPr="00BB2874">
        <w:rPr>
          <w:rFonts w:cs="Arial"/>
          <w:sz w:val="22"/>
          <w:szCs w:val="22"/>
        </w:rPr>
        <w:t xml:space="preserve">increase in-house head count for claims staff to the extent required (head count required is dependent on the maturity of Gordian’s other run off portfolios). </w:t>
      </w:r>
    </w:p>
    <w:p w:rsidR="00924E71" w:rsidRPr="00BB2874" w:rsidP="00973BBE">
      <w:pPr>
        <w:pStyle w:val="Heading3"/>
        <w:rPr>
          <w:rFonts w:cs="Arial"/>
          <w:color w:val="auto"/>
          <w:sz w:val="22"/>
          <w:szCs w:val="22"/>
          <w:shd w:val="clear" w:color="auto" w:fill="auto"/>
        </w:rPr>
      </w:pPr>
      <w:r w:rsidRPr="00BB2874">
        <w:rPr>
          <w:rFonts w:cs="Arial"/>
          <w:sz w:val="22"/>
          <w:szCs w:val="22"/>
        </w:rPr>
        <w:t xml:space="preserve">Gordian has arranged access to a claims management system from the transfer date which will have all details of open claims. </w:t>
      </w:r>
    </w:p>
    <w:p w:rsidR="00973BBE" w:rsidRPr="00BB2874" w:rsidP="00973BBE">
      <w:pPr>
        <w:pStyle w:val="Heading3"/>
        <w:rPr>
          <w:rFonts w:cs="Arial"/>
          <w:color w:val="auto"/>
          <w:sz w:val="22"/>
          <w:szCs w:val="22"/>
          <w:shd w:val="clear" w:color="auto" w:fill="auto"/>
        </w:rPr>
      </w:pPr>
      <w:r w:rsidRPr="00BB2874">
        <w:rPr>
          <w:rFonts w:cs="Arial"/>
          <w:sz w:val="22"/>
          <w:szCs w:val="22"/>
        </w:rPr>
        <w:t>Gordian has been managing claims for diverse run-off businesses in Australia for more than twenty years.</w:t>
      </w:r>
      <w:r w:rsidRPr="00BB2874" w:rsidR="00513F27">
        <w:rPr>
          <w:rFonts w:cs="Arial"/>
          <w:sz w:val="22"/>
          <w:szCs w:val="22"/>
        </w:rPr>
        <w:t xml:space="preserve">  Gordian is authorised under section 12 of the Insurance Act to carry on run-off insurance business in Australia.</w:t>
      </w:r>
    </w:p>
    <w:p w:rsidR="00090505" w:rsidRPr="00BB2874" w:rsidP="00090505">
      <w:pPr>
        <w:pStyle w:val="Heading3"/>
        <w:numPr>
          <w:ilvl w:val="0"/>
          <w:numId w:val="0"/>
        </w:numPr>
        <w:ind w:left="709"/>
        <w:rPr>
          <w:rFonts w:cs="Arial"/>
          <w:color w:val="auto"/>
          <w:sz w:val="22"/>
          <w:szCs w:val="22"/>
          <w:shd w:val="clear" w:color="auto" w:fill="auto"/>
        </w:rPr>
      </w:pPr>
      <w:r w:rsidRPr="00BB2874">
        <w:rPr>
          <w:rFonts w:cs="Arial"/>
          <w:b/>
          <w:sz w:val="22"/>
          <w:szCs w:val="22"/>
        </w:rPr>
        <w:t>Financial Security</w:t>
      </w:r>
    </w:p>
    <w:p w:rsidR="00C40C41" w:rsidRPr="00BB2874" w:rsidP="00944210">
      <w:pPr>
        <w:pStyle w:val="Heading3"/>
        <w:rPr>
          <w:rFonts w:cs="Arial"/>
          <w:b/>
          <w:color w:val="auto"/>
          <w:sz w:val="22"/>
          <w:szCs w:val="22"/>
          <w:shd w:val="clear" w:color="auto" w:fill="auto"/>
        </w:rPr>
      </w:pPr>
      <w:r w:rsidRPr="00BB2874">
        <w:rPr>
          <w:rFonts w:cs="Arial"/>
          <w:sz w:val="22"/>
          <w:szCs w:val="22"/>
        </w:rPr>
        <w:t xml:space="preserve">Gordian and </w:t>
      </w:r>
      <w:r w:rsidRPr="00BB2874">
        <w:rPr>
          <w:rFonts w:cs="Arial"/>
          <w:sz w:val="22"/>
          <w:szCs w:val="22"/>
        </w:rPr>
        <w:t>Cavello</w:t>
      </w:r>
      <w:r w:rsidRPr="00BB2874">
        <w:rPr>
          <w:rFonts w:cs="Arial"/>
          <w:sz w:val="22"/>
          <w:szCs w:val="22"/>
        </w:rPr>
        <w:t xml:space="preserve"> Bay </w:t>
      </w:r>
      <w:r w:rsidRPr="00BB2874" w:rsidR="00C317F8">
        <w:rPr>
          <w:rFonts w:cs="Arial"/>
          <w:sz w:val="22"/>
          <w:szCs w:val="22"/>
        </w:rPr>
        <w:t>Reinsurance Limited (a related pa</w:t>
      </w:r>
      <w:r w:rsidRPr="00BB2874" w:rsidR="00D13D77">
        <w:rPr>
          <w:rFonts w:cs="Arial"/>
          <w:sz w:val="22"/>
          <w:szCs w:val="22"/>
        </w:rPr>
        <w:t>r</w:t>
      </w:r>
      <w:r w:rsidRPr="00BB2874" w:rsidR="00C317F8">
        <w:rPr>
          <w:rFonts w:cs="Arial"/>
          <w:sz w:val="22"/>
          <w:szCs w:val="22"/>
        </w:rPr>
        <w:t xml:space="preserve">ty of Gordian) </w:t>
      </w:r>
      <w:r w:rsidRPr="00BB2874" w:rsidR="00991628">
        <w:rPr>
          <w:rFonts w:cs="Arial"/>
          <w:sz w:val="22"/>
          <w:szCs w:val="22"/>
        </w:rPr>
        <w:t>(</w:t>
      </w:r>
      <w:r w:rsidRPr="00BB2874" w:rsidR="00991628">
        <w:rPr>
          <w:rFonts w:cs="Arial"/>
          <w:b/>
          <w:sz w:val="22"/>
          <w:szCs w:val="22"/>
        </w:rPr>
        <w:t>Cavello</w:t>
      </w:r>
      <w:r w:rsidRPr="00BB2874" w:rsidR="00991628">
        <w:rPr>
          <w:rFonts w:cs="Arial"/>
          <w:sz w:val="22"/>
          <w:szCs w:val="22"/>
        </w:rPr>
        <w:t xml:space="preserve"> </w:t>
      </w:r>
      <w:r w:rsidRPr="00BB2874" w:rsidR="00991628">
        <w:rPr>
          <w:rFonts w:cs="Arial"/>
          <w:b/>
          <w:sz w:val="22"/>
          <w:szCs w:val="22"/>
        </w:rPr>
        <w:t>Bay</w:t>
      </w:r>
      <w:r w:rsidRPr="00BB2874" w:rsidR="00991628">
        <w:rPr>
          <w:rFonts w:cs="Arial"/>
          <w:sz w:val="22"/>
          <w:szCs w:val="22"/>
        </w:rPr>
        <w:t xml:space="preserve">) </w:t>
      </w:r>
      <w:r w:rsidRPr="00BB2874">
        <w:rPr>
          <w:rFonts w:cs="Arial"/>
          <w:sz w:val="22"/>
          <w:szCs w:val="22"/>
        </w:rPr>
        <w:t xml:space="preserve">will enter into a quota share reinsurance agreement which will reinsure 100% of the claims risk in relation to the business transferring from </w:t>
      </w:r>
      <w:r w:rsidRPr="00BB2874">
        <w:rPr>
          <w:rFonts w:cs="Arial"/>
          <w:sz w:val="22"/>
          <w:szCs w:val="22"/>
        </w:rPr>
        <w:t>GLA</w:t>
      </w:r>
      <w:r w:rsidRPr="00BB2874">
        <w:rPr>
          <w:rFonts w:cs="Arial"/>
          <w:sz w:val="22"/>
          <w:szCs w:val="22"/>
        </w:rPr>
        <w:t xml:space="preserve"> under the Scheme (net of any external reinsurance that continues to apply) from the effective date of the Scheme</w:t>
      </w:r>
      <w:r w:rsidRPr="00BB2874">
        <w:rPr>
          <w:rFonts w:cs="Arial"/>
          <w:sz w:val="22"/>
          <w:szCs w:val="22"/>
        </w:rPr>
        <w:t>.</w:t>
      </w:r>
    </w:p>
    <w:p w:rsidR="003F0B42" w:rsidRPr="00BB2874" w:rsidP="00944210">
      <w:pPr>
        <w:pStyle w:val="Heading3"/>
        <w:rPr>
          <w:rFonts w:cs="Arial"/>
          <w:b/>
          <w:color w:val="auto"/>
          <w:sz w:val="22"/>
          <w:szCs w:val="22"/>
          <w:shd w:val="clear" w:color="auto" w:fill="auto"/>
        </w:rPr>
      </w:pPr>
      <w:r w:rsidRPr="00BB2874">
        <w:rPr>
          <w:rFonts w:cs="Arial"/>
          <w:sz w:val="22"/>
          <w:szCs w:val="22"/>
        </w:rPr>
        <w:t>Cavello</w:t>
      </w:r>
      <w:r w:rsidRPr="00BB2874">
        <w:rPr>
          <w:rFonts w:cs="Arial"/>
          <w:sz w:val="22"/>
          <w:szCs w:val="22"/>
        </w:rPr>
        <w:t xml:space="preserve"> Bay </w:t>
      </w:r>
      <w:r w:rsidRPr="00BB2874" w:rsidR="00D13D77">
        <w:rPr>
          <w:rFonts w:cs="Arial"/>
          <w:sz w:val="22"/>
          <w:szCs w:val="22"/>
        </w:rPr>
        <w:t xml:space="preserve">had </w:t>
      </w:r>
      <w:r w:rsidRPr="00BB2874">
        <w:rPr>
          <w:rFonts w:cs="Arial"/>
          <w:sz w:val="22"/>
          <w:szCs w:val="22"/>
        </w:rPr>
        <w:t xml:space="preserve">total assets of </w:t>
      </w:r>
      <w:r w:rsidRPr="00BB2874">
        <w:rPr>
          <w:rFonts w:cs="Arial"/>
          <w:sz w:val="22"/>
          <w:szCs w:val="22"/>
        </w:rPr>
        <w:t>US$4.1</w:t>
      </w:r>
      <w:r w:rsidRPr="00BB2874">
        <w:rPr>
          <w:rFonts w:cs="Arial"/>
          <w:sz w:val="22"/>
          <w:szCs w:val="22"/>
        </w:rPr>
        <w:t xml:space="preserve"> billion, total liabilities of </w:t>
      </w:r>
      <w:r w:rsidRPr="00BB2874">
        <w:rPr>
          <w:rFonts w:cs="Arial"/>
          <w:sz w:val="22"/>
          <w:szCs w:val="22"/>
        </w:rPr>
        <w:t>US$2.4</w:t>
      </w:r>
      <w:r w:rsidRPr="00BB2874">
        <w:rPr>
          <w:rFonts w:cs="Arial"/>
          <w:sz w:val="22"/>
          <w:szCs w:val="22"/>
        </w:rPr>
        <w:t xml:space="preserve"> billion, giving net assets of </w:t>
      </w:r>
      <w:r w:rsidRPr="00BB2874">
        <w:rPr>
          <w:rFonts w:cs="Arial"/>
          <w:sz w:val="22"/>
          <w:szCs w:val="22"/>
        </w:rPr>
        <w:t>US$1.6</w:t>
      </w:r>
      <w:r w:rsidRPr="00BB2874">
        <w:rPr>
          <w:rFonts w:cs="Arial"/>
          <w:sz w:val="22"/>
          <w:szCs w:val="22"/>
        </w:rPr>
        <w:t xml:space="preserve"> billion</w:t>
      </w:r>
      <w:r w:rsidRPr="00BB2874" w:rsidR="00D13D77">
        <w:rPr>
          <w:rFonts w:cs="Arial"/>
          <w:sz w:val="22"/>
          <w:szCs w:val="22"/>
        </w:rPr>
        <w:t xml:space="preserve"> as at 31 December 2018</w:t>
      </w:r>
      <w:r w:rsidRPr="00BB2874">
        <w:rPr>
          <w:rFonts w:cs="Arial"/>
          <w:sz w:val="22"/>
          <w:szCs w:val="22"/>
        </w:rPr>
        <w:t>.</w:t>
      </w:r>
      <w:r w:rsidRPr="00BB2874" w:rsidR="00C317F8">
        <w:rPr>
          <w:rFonts w:cs="Arial"/>
          <w:sz w:val="22"/>
          <w:szCs w:val="22"/>
        </w:rPr>
        <w:t xml:space="preserve"> </w:t>
      </w:r>
    </w:p>
    <w:p w:rsidR="003C4315" w:rsidRPr="00BB2874" w:rsidP="00C40C41">
      <w:pPr>
        <w:pStyle w:val="Heading3"/>
        <w:rPr>
          <w:rFonts w:cs="Arial"/>
          <w:b/>
          <w:color w:val="auto"/>
          <w:sz w:val="22"/>
          <w:szCs w:val="22"/>
          <w:shd w:val="clear" w:color="auto" w:fill="auto"/>
        </w:rPr>
      </w:pPr>
      <w:r w:rsidRPr="00BB2874">
        <w:rPr>
          <w:rFonts w:cs="Arial"/>
          <w:sz w:val="22"/>
          <w:szCs w:val="22"/>
        </w:rPr>
        <w:t>In connection with the reinsurance agreements, assets will be held in an Australian Trust Fund (</w:t>
      </w:r>
      <w:r w:rsidRPr="00BB2874">
        <w:rPr>
          <w:rFonts w:cs="Arial"/>
          <w:b/>
          <w:sz w:val="22"/>
          <w:szCs w:val="22"/>
        </w:rPr>
        <w:t>ATF</w:t>
      </w:r>
      <w:r w:rsidRPr="00BB2874">
        <w:rPr>
          <w:rFonts w:cs="Arial"/>
          <w:sz w:val="22"/>
          <w:szCs w:val="22"/>
        </w:rPr>
        <w:t xml:space="preserve">) held by a local trustee (being a major Australian bank) and available only to meet claims of transferring policyholders. This arrangement with the ATF is in accordance with </w:t>
      </w:r>
      <w:r w:rsidRPr="00BB2874">
        <w:rPr>
          <w:rFonts w:cs="Arial"/>
          <w:sz w:val="22"/>
          <w:szCs w:val="22"/>
        </w:rPr>
        <w:t>APRA's</w:t>
      </w:r>
      <w:r w:rsidRPr="00BB2874">
        <w:rPr>
          <w:rFonts w:cs="Arial"/>
          <w:sz w:val="22"/>
          <w:szCs w:val="22"/>
        </w:rPr>
        <w:t xml:space="preserve"> requirements. There is no likelihood of this financial security being diminished by other claims against the receiving insurer (being Gordian). </w:t>
      </w:r>
    </w:p>
    <w:p w:rsidR="003C4315" w:rsidRPr="00BB2874" w:rsidP="003C4315">
      <w:pPr>
        <w:pStyle w:val="Heading3"/>
        <w:rPr>
          <w:rFonts w:cs="Arial"/>
          <w:b/>
          <w:color w:val="auto"/>
          <w:sz w:val="22"/>
          <w:szCs w:val="22"/>
          <w:shd w:val="clear" w:color="auto" w:fill="auto"/>
        </w:rPr>
      </w:pPr>
      <w:r w:rsidRPr="00BB2874">
        <w:rPr>
          <w:rFonts w:cs="Arial"/>
          <w:sz w:val="22"/>
          <w:szCs w:val="22"/>
        </w:rPr>
        <w:t>Finity</w:t>
      </w:r>
      <w:r w:rsidRPr="00BB2874">
        <w:rPr>
          <w:rFonts w:cs="Arial"/>
          <w:sz w:val="22"/>
          <w:szCs w:val="22"/>
        </w:rPr>
        <w:t xml:space="preserve"> has assessed the first line of financial security as sound. </w:t>
      </w:r>
    </w:p>
    <w:p w:rsidR="003C4315" w:rsidRPr="00BB2874" w:rsidP="003C4315">
      <w:pPr>
        <w:pStyle w:val="Heading3"/>
        <w:rPr>
          <w:rFonts w:cs="Arial"/>
          <w:b/>
          <w:color w:val="auto"/>
          <w:sz w:val="22"/>
          <w:szCs w:val="22"/>
          <w:shd w:val="clear" w:color="auto" w:fill="auto"/>
        </w:rPr>
      </w:pPr>
      <w:r w:rsidRPr="00BB2874">
        <w:rPr>
          <w:rFonts w:cs="Arial"/>
          <w:sz w:val="22"/>
          <w:szCs w:val="22"/>
        </w:rPr>
        <w:t xml:space="preserve">However, should the first line fail, </w:t>
      </w:r>
      <w:r w:rsidRPr="00BB2874">
        <w:rPr>
          <w:rFonts w:cs="Arial"/>
          <w:sz w:val="22"/>
          <w:szCs w:val="22"/>
        </w:rPr>
        <w:t>Finity</w:t>
      </w:r>
      <w:r w:rsidRPr="00BB2874">
        <w:rPr>
          <w:rFonts w:cs="Arial"/>
          <w:sz w:val="22"/>
          <w:szCs w:val="22"/>
        </w:rPr>
        <w:t xml:space="preserve"> has assessed the other available sources of financial security as follows:</w:t>
      </w:r>
    </w:p>
    <w:p w:rsidR="00BB2874" w:rsidP="00BB2874">
      <w:pPr>
        <w:pStyle w:val="Heading3"/>
        <w:numPr>
          <w:ilvl w:val="0"/>
          <w:numId w:val="0"/>
        </w:numPr>
        <w:ind w:left="1418"/>
        <w:rPr>
          <w:rFonts w:cs="Arial"/>
          <w:color w:val="auto"/>
          <w:sz w:val="22"/>
          <w:szCs w:val="22"/>
          <w:shd w:val="clear" w:color="auto" w:fill="auto"/>
        </w:rPr>
      </w:pPr>
    </w:p>
    <w:p w:rsidR="00BB2874" w:rsidRPr="00BB2874" w:rsidP="00BB2874">
      <w:pPr>
        <w:pStyle w:val="Heading3"/>
        <w:numPr>
          <w:ilvl w:val="0"/>
          <w:numId w:val="0"/>
        </w:numPr>
        <w:ind w:left="1418"/>
        <w:rPr>
          <w:rFonts w:cs="Arial"/>
          <w:b/>
          <w:color w:val="auto"/>
          <w:sz w:val="22"/>
          <w:szCs w:val="22"/>
          <w:shd w:val="clear" w:color="auto" w:fill="auto"/>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10"/>
        <w:gridCol w:w="5639"/>
      </w:tblGrid>
      <w:tr w:rsidTr="00517624">
        <w:tblPrEx>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Ex>
        <w:trPr>
          <w:trHeight w:val="93"/>
        </w:trPr>
        <w:tc>
          <w:tcPr>
            <w:tcW w:w="2410" w:type="dxa"/>
          </w:tcPr>
          <w:p w:rsidR="00C40C41" w:rsidRPr="00BB2874" w:rsidP="00C40C41">
            <w:pPr>
              <w:pStyle w:val="Default"/>
              <w:spacing w:line="360" w:lineRule="auto"/>
              <w:rPr>
                <w:b/>
                <w:color w:val="000000"/>
                <w:sz w:val="22"/>
                <w:szCs w:val="22"/>
                <w:shd w:val="clear" w:color="auto" w:fill="auto"/>
              </w:rPr>
            </w:pPr>
            <w:r w:rsidRPr="00BB2874">
              <w:rPr>
                <w:b/>
                <w:bCs/>
                <w:sz w:val="22"/>
                <w:szCs w:val="22"/>
              </w:rPr>
              <w:t xml:space="preserve">Source </w:t>
            </w:r>
          </w:p>
        </w:tc>
        <w:tc>
          <w:tcPr>
            <w:tcW w:w="5639" w:type="dxa"/>
          </w:tcPr>
          <w:p w:rsidR="00C40C41" w:rsidRPr="00BB2874" w:rsidP="00C40C41">
            <w:pPr>
              <w:pStyle w:val="Default"/>
              <w:spacing w:line="360" w:lineRule="auto"/>
              <w:rPr>
                <w:b/>
                <w:color w:val="000000"/>
                <w:sz w:val="22"/>
                <w:szCs w:val="22"/>
                <w:shd w:val="clear" w:color="auto" w:fill="auto"/>
              </w:rPr>
            </w:pPr>
            <w:r w:rsidRPr="00BB2874">
              <w:rPr>
                <w:b/>
                <w:bCs/>
                <w:sz w:val="22"/>
                <w:szCs w:val="22"/>
              </w:rPr>
              <w:t xml:space="preserve">Analysis </w:t>
            </w:r>
          </w:p>
        </w:tc>
      </w:tr>
      <w:tr w:rsidTr="00517624">
        <w:tblPrEx>
          <w:tblW w:w="0" w:type="auto"/>
          <w:tblInd w:w="817" w:type="dxa"/>
          <w:tblLayout w:type="fixed"/>
          <w:tblLook w:val="0000"/>
        </w:tblPrEx>
        <w:trPr>
          <w:trHeight w:val="363"/>
        </w:trPr>
        <w:tc>
          <w:tcPr>
            <w:tcW w:w="2410" w:type="dxa"/>
          </w:tcPr>
          <w:p w:rsidR="00C40C41" w:rsidRPr="00BB2874" w:rsidP="00C40C41">
            <w:pPr>
              <w:pStyle w:val="Default"/>
              <w:spacing w:line="360" w:lineRule="auto"/>
              <w:rPr>
                <w:color w:val="000000"/>
                <w:sz w:val="22"/>
                <w:szCs w:val="22"/>
                <w:shd w:val="clear" w:color="auto" w:fill="auto"/>
              </w:rPr>
            </w:pPr>
            <w:r w:rsidRPr="00BB2874">
              <w:rPr>
                <w:sz w:val="22"/>
                <w:szCs w:val="22"/>
              </w:rPr>
              <w:t xml:space="preserve">Trust Fund for Transferring Policies </w:t>
            </w:r>
          </w:p>
        </w:tc>
        <w:tc>
          <w:tcPr>
            <w:tcW w:w="5639" w:type="dxa"/>
          </w:tcPr>
          <w:p w:rsidR="00C40C41" w:rsidRPr="00BB2874" w:rsidP="00C40C41">
            <w:pPr>
              <w:pStyle w:val="Default"/>
              <w:spacing w:line="360" w:lineRule="auto"/>
              <w:rPr>
                <w:color w:val="000000"/>
                <w:sz w:val="22"/>
                <w:szCs w:val="22"/>
                <w:shd w:val="clear" w:color="auto" w:fill="auto"/>
              </w:rPr>
            </w:pPr>
            <w:r w:rsidRPr="00BB2874">
              <w:rPr>
                <w:sz w:val="22"/>
                <w:szCs w:val="22"/>
              </w:rPr>
              <w:t xml:space="preserve">Initially 105% of estimated liabilities. </w:t>
            </w:r>
          </w:p>
          <w:p w:rsidR="00C40C41" w:rsidRPr="00BB2874" w:rsidP="00C40C41">
            <w:pPr>
              <w:pStyle w:val="Default"/>
              <w:spacing w:line="360" w:lineRule="auto"/>
              <w:rPr>
                <w:color w:val="000000"/>
                <w:sz w:val="22"/>
                <w:szCs w:val="22"/>
                <w:shd w:val="clear" w:color="auto" w:fill="auto"/>
              </w:rPr>
            </w:pPr>
            <w:r w:rsidRPr="00BB2874">
              <w:rPr>
                <w:sz w:val="22"/>
                <w:szCs w:val="22"/>
              </w:rPr>
              <w:t xml:space="preserve">If liabilities increase, top-up from </w:t>
            </w:r>
            <w:r w:rsidRPr="00BB2874">
              <w:rPr>
                <w:sz w:val="22"/>
                <w:szCs w:val="22"/>
              </w:rPr>
              <w:t>Cavello</w:t>
            </w:r>
            <w:r w:rsidRPr="00BB2874">
              <w:rPr>
                <w:sz w:val="22"/>
                <w:szCs w:val="22"/>
              </w:rPr>
              <w:t xml:space="preserve"> Bay to 105%. </w:t>
            </w:r>
          </w:p>
          <w:p w:rsidR="00C40C41" w:rsidRPr="00BB2874" w:rsidP="00C40C41">
            <w:pPr>
              <w:pStyle w:val="Default"/>
              <w:spacing w:line="360" w:lineRule="auto"/>
              <w:rPr>
                <w:color w:val="000000"/>
                <w:sz w:val="22"/>
                <w:szCs w:val="22"/>
                <w:shd w:val="clear" w:color="auto" w:fill="auto"/>
              </w:rPr>
            </w:pPr>
            <w:r w:rsidRPr="00BB2874">
              <w:rPr>
                <w:sz w:val="22"/>
                <w:szCs w:val="22"/>
              </w:rPr>
              <w:t xml:space="preserve">Funds available only to meet claims of transferring policyholders. </w:t>
            </w:r>
          </w:p>
        </w:tc>
      </w:tr>
      <w:tr w:rsidTr="00517624">
        <w:tblPrEx>
          <w:tblW w:w="0" w:type="auto"/>
          <w:tblInd w:w="817" w:type="dxa"/>
          <w:tblLayout w:type="fixed"/>
          <w:tblLook w:val="0000"/>
        </w:tblPrEx>
        <w:trPr>
          <w:trHeight w:val="232"/>
        </w:trPr>
        <w:tc>
          <w:tcPr>
            <w:tcW w:w="2410" w:type="dxa"/>
          </w:tcPr>
          <w:p w:rsidR="00C40C41" w:rsidRPr="00BB2874" w:rsidP="00C40C41">
            <w:pPr>
              <w:pStyle w:val="Default"/>
              <w:spacing w:line="360" w:lineRule="auto"/>
              <w:rPr>
                <w:color w:val="000000"/>
                <w:sz w:val="22"/>
                <w:szCs w:val="22"/>
                <w:shd w:val="clear" w:color="auto" w:fill="auto"/>
              </w:rPr>
            </w:pPr>
            <w:r w:rsidRPr="00BB2874">
              <w:rPr>
                <w:sz w:val="22"/>
                <w:szCs w:val="22"/>
              </w:rPr>
              <w:t>Cavello</w:t>
            </w:r>
            <w:r w:rsidRPr="00BB2874">
              <w:rPr>
                <w:sz w:val="22"/>
                <w:szCs w:val="22"/>
              </w:rPr>
              <w:t xml:space="preserve"> Bay </w:t>
            </w:r>
          </w:p>
        </w:tc>
        <w:tc>
          <w:tcPr>
            <w:tcW w:w="5639" w:type="dxa"/>
          </w:tcPr>
          <w:p w:rsidR="00C40C41" w:rsidRPr="00BB2874" w:rsidP="00C40C41">
            <w:pPr>
              <w:pStyle w:val="Default"/>
              <w:spacing w:line="360" w:lineRule="auto"/>
              <w:rPr>
                <w:color w:val="000000"/>
                <w:sz w:val="22"/>
                <w:szCs w:val="22"/>
                <w:shd w:val="clear" w:color="auto" w:fill="auto"/>
              </w:rPr>
            </w:pPr>
            <w:r w:rsidRPr="00BB2874">
              <w:rPr>
                <w:sz w:val="22"/>
                <w:szCs w:val="22"/>
              </w:rPr>
              <w:t xml:space="preserve">Should </w:t>
            </w:r>
            <w:r w:rsidRPr="00BB2874">
              <w:rPr>
                <w:sz w:val="22"/>
                <w:szCs w:val="22"/>
              </w:rPr>
              <w:t>Cavello</w:t>
            </w:r>
            <w:r w:rsidRPr="00BB2874">
              <w:rPr>
                <w:sz w:val="22"/>
                <w:szCs w:val="22"/>
              </w:rPr>
              <w:t xml:space="preserve"> Bay be unwilling or unable to top-up the Trust Fund, Gordian has a legally enforceable right against </w:t>
            </w:r>
            <w:r w:rsidRPr="00BB2874">
              <w:rPr>
                <w:sz w:val="22"/>
                <w:szCs w:val="22"/>
              </w:rPr>
              <w:t>Cavello</w:t>
            </w:r>
            <w:r w:rsidRPr="00BB2874">
              <w:rPr>
                <w:sz w:val="22"/>
                <w:szCs w:val="22"/>
              </w:rPr>
              <w:t xml:space="preserve"> Bay. </w:t>
            </w:r>
          </w:p>
        </w:tc>
      </w:tr>
      <w:tr w:rsidTr="00517624">
        <w:tblPrEx>
          <w:tblW w:w="0" w:type="auto"/>
          <w:tblInd w:w="817" w:type="dxa"/>
          <w:tblLayout w:type="fixed"/>
          <w:tblLook w:val="0000"/>
        </w:tblPrEx>
        <w:trPr>
          <w:trHeight w:val="576"/>
        </w:trPr>
        <w:tc>
          <w:tcPr>
            <w:tcW w:w="2410" w:type="dxa"/>
          </w:tcPr>
          <w:p w:rsidR="00C40C41" w:rsidRPr="00BB2874" w:rsidP="00C40C41">
            <w:pPr>
              <w:pStyle w:val="Default"/>
              <w:spacing w:line="360" w:lineRule="auto"/>
              <w:rPr>
                <w:color w:val="000000"/>
                <w:sz w:val="22"/>
                <w:szCs w:val="22"/>
                <w:shd w:val="clear" w:color="auto" w:fill="auto"/>
              </w:rPr>
            </w:pPr>
            <w:r w:rsidRPr="00BB2874">
              <w:rPr>
                <w:sz w:val="22"/>
                <w:szCs w:val="22"/>
              </w:rPr>
              <w:t xml:space="preserve">Gordian </w:t>
            </w:r>
          </w:p>
        </w:tc>
        <w:tc>
          <w:tcPr>
            <w:tcW w:w="5639" w:type="dxa"/>
          </w:tcPr>
          <w:p w:rsidR="00C40C41" w:rsidRPr="00BB2874" w:rsidP="00C40C41">
            <w:pPr>
              <w:pStyle w:val="Default"/>
              <w:spacing w:line="360" w:lineRule="auto"/>
              <w:rPr>
                <w:color w:val="000000"/>
                <w:sz w:val="22"/>
                <w:szCs w:val="22"/>
                <w:shd w:val="clear" w:color="auto" w:fill="auto"/>
              </w:rPr>
            </w:pPr>
            <w:r w:rsidRPr="00BB2874">
              <w:rPr>
                <w:sz w:val="22"/>
                <w:szCs w:val="22"/>
              </w:rPr>
              <w:t xml:space="preserve">Should the reinsurance fail entirely, the assets of Gordian are available to meet claims (noting these assets are ring-fenced in Australia). </w:t>
            </w:r>
          </w:p>
          <w:p w:rsidR="00C40C41" w:rsidRPr="00BB2874" w:rsidP="00C40C41">
            <w:pPr>
              <w:pStyle w:val="Default"/>
              <w:spacing w:line="360" w:lineRule="auto"/>
              <w:rPr>
                <w:color w:val="000000"/>
                <w:sz w:val="22"/>
                <w:szCs w:val="22"/>
                <w:shd w:val="clear" w:color="auto" w:fill="auto"/>
              </w:rPr>
            </w:pPr>
            <w:r w:rsidRPr="00BB2874">
              <w:rPr>
                <w:sz w:val="22"/>
                <w:szCs w:val="22"/>
              </w:rPr>
              <w:t>These assets, including available capital of about $</w:t>
            </w:r>
            <w:r w:rsidRPr="00BB2874">
              <w:rPr>
                <w:sz w:val="22"/>
                <w:szCs w:val="22"/>
              </w:rPr>
              <w:t>75m</w:t>
            </w:r>
            <w:r w:rsidRPr="00BB2874">
              <w:rPr>
                <w:sz w:val="22"/>
                <w:szCs w:val="22"/>
              </w:rPr>
              <w:t xml:space="preserve">, are available to support the business currently insured by Gordian, including the CTP business (if the CTP Trust Fund for that business also becomes exhausted). </w:t>
            </w:r>
          </w:p>
        </w:tc>
      </w:tr>
    </w:tbl>
    <w:p w:rsidR="00C40C41" w:rsidRPr="00BB2874" w:rsidP="00C40C41">
      <w:pPr>
        <w:pStyle w:val="Heading3"/>
        <w:rPr>
          <w:rFonts w:cs="Arial"/>
          <w:color w:val="auto"/>
          <w:sz w:val="22"/>
          <w:szCs w:val="22"/>
          <w:shd w:val="clear" w:color="auto" w:fill="auto"/>
        </w:rPr>
      </w:pPr>
      <w:r w:rsidRPr="00BB2874">
        <w:rPr>
          <w:rFonts w:cs="Arial"/>
          <w:sz w:val="22"/>
          <w:szCs w:val="22"/>
        </w:rPr>
        <w:t xml:space="preserve">In addition to the above legal avenues of financial security, it is possible that Enstar Group may support </w:t>
      </w:r>
      <w:r w:rsidRPr="00BB2874">
        <w:rPr>
          <w:rFonts w:cs="Arial"/>
          <w:sz w:val="22"/>
          <w:szCs w:val="22"/>
        </w:rPr>
        <w:t>Cavello</w:t>
      </w:r>
      <w:r w:rsidRPr="00BB2874">
        <w:rPr>
          <w:rFonts w:cs="Arial"/>
          <w:sz w:val="22"/>
          <w:szCs w:val="22"/>
        </w:rPr>
        <w:t xml:space="preserve"> Bay and/ or Gordian, although there is no contractual agreements in place. The reputation of a global listed insurer will be substantially damaged if it allows a significant subsidiary to become insolvent.</w:t>
      </w:r>
    </w:p>
    <w:p w:rsidR="00973BBE" w:rsidRPr="00BB2874" w:rsidP="003C4315">
      <w:pPr>
        <w:pStyle w:val="Heading3"/>
        <w:rPr>
          <w:rFonts w:cs="Arial"/>
          <w:b/>
          <w:color w:val="auto"/>
          <w:sz w:val="22"/>
          <w:szCs w:val="22"/>
          <w:shd w:val="clear" w:color="auto" w:fill="auto"/>
        </w:rPr>
      </w:pPr>
      <w:r w:rsidRPr="00BB2874">
        <w:rPr>
          <w:rFonts w:cs="Arial"/>
          <w:sz w:val="22"/>
          <w:szCs w:val="22"/>
        </w:rPr>
        <w:t>Finity's</w:t>
      </w:r>
      <w:r w:rsidRPr="00BB2874">
        <w:rPr>
          <w:rFonts w:cs="Arial"/>
          <w:sz w:val="22"/>
          <w:szCs w:val="22"/>
        </w:rPr>
        <w:t xml:space="preserve"> assessment is that the chance of all four sources of financial security </w:t>
      </w:r>
      <w:r w:rsidRPr="00BB2874" w:rsidR="003C4315">
        <w:rPr>
          <w:rFonts w:cs="Arial"/>
          <w:sz w:val="22"/>
          <w:szCs w:val="22"/>
        </w:rPr>
        <w:t xml:space="preserve">(as set out </w:t>
      </w:r>
      <w:r w:rsidRPr="00BB2874" w:rsidR="00890E40">
        <w:rPr>
          <w:rFonts w:cs="Arial"/>
          <w:sz w:val="22"/>
          <w:szCs w:val="22"/>
        </w:rPr>
        <w:t>above</w:t>
      </w:r>
      <w:r w:rsidRPr="00BB2874" w:rsidR="00CE68F1">
        <w:rPr>
          <w:rFonts w:cs="Arial"/>
          <w:sz w:val="22"/>
          <w:szCs w:val="22"/>
        </w:rPr>
        <w:t xml:space="preserve">) </w:t>
      </w:r>
      <w:r w:rsidRPr="00BB2874">
        <w:rPr>
          <w:rFonts w:cs="Arial"/>
          <w:sz w:val="22"/>
          <w:szCs w:val="22"/>
        </w:rPr>
        <w:t>failing is very remote and that there is no material detriment to the financial security of transferring policyholders.</w:t>
      </w:r>
    </w:p>
    <w:p w:rsidR="00991628" w:rsidRPr="00BB2874" w:rsidP="00991628">
      <w:pPr>
        <w:pStyle w:val="Heading1"/>
        <w:rPr>
          <w:rFonts w:cs="Arial"/>
          <w:color w:val="auto"/>
          <w:sz w:val="22"/>
          <w:szCs w:val="22"/>
          <w:shd w:val="clear" w:color="auto" w:fill="auto"/>
        </w:rPr>
      </w:pPr>
      <w:r w:rsidRPr="00BB2874">
        <w:rPr>
          <w:rFonts w:cs="Arial"/>
          <w:sz w:val="22"/>
          <w:szCs w:val="22"/>
        </w:rPr>
        <w:t>Finity</w:t>
      </w:r>
      <w:r w:rsidRPr="00BB2874">
        <w:rPr>
          <w:rFonts w:cs="Arial"/>
          <w:sz w:val="22"/>
          <w:szCs w:val="22"/>
        </w:rPr>
        <w:t xml:space="preserve"> has concluded that </w:t>
      </w:r>
      <w:r w:rsidRPr="00BB2874">
        <w:rPr>
          <w:rFonts w:cs="Arial"/>
          <w:iCs/>
          <w:sz w:val="22"/>
          <w:szCs w:val="22"/>
        </w:rPr>
        <w:t xml:space="preserve">the interests of the remaining policyholders of </w:t>
      </w:r>
      <w:r w:rsidRPr="00BB2874">
        <w:rPr>
          <w:rFonts w:cs="Arial"/>
          <w:iCs/>
          <w:sz w:val="22"/>
          <w:szCs w:val="22"/>
        </w:rPr>
        <w:t>GLA</w:t>
      </w:r>
      <w:r w:rsidRPr="00BB2874">
        <w:rPr>
          <w:rFonts w:cs="Arial"/>
          <w:iCs/>
          <w:sz w:val="22"/>
          <w:szCs w:val="22"/>
        </w:rPr>
        <w:t xml:space="preserve"> will not be adversely affected in a material way as a consequence of the Scheme, for the following reasons:</w:t>
      </w:r>
      <w:r w:rsidRPr="00BB2874">
        <w:rPr>
          <w:rFonts w:cs="Arial"/>
          <w:sz w:val="22"/>
          <w:szCs w:val="22"/>
        </w:rPr>
        <w:t xml:space="preserve"> </w:t>
      </w:r>
    </w:p>
    <w:p w:rsidR="00991628" w:rsidRPr="00BB2874" w:rsidP="00991628">
      <w:pPr>
        <w:pStyle w:val="Heading3"/>
        <w:rPr>
          <w:rFonts w:cs="Arial"/>
          <w:color w:val="auto"/>
          <w:sz w:val="22"/>
          <w:szCs w:val="22"/>
          <w:shd w:val="clear" w:color="auto" w:fill="auto"/>
        </w:rPr>
      </w:pPr>
      <w:r w:rsidRPr="00BB2874">
        <w:rPr>
          <w:rFonts w:cs="Arial"/>
          <w:sz w:val="22"/>
          <w:szCs w:val="22"/>
        </w:rPr>
        <w:t xml:space="preserve">the business of </w:t>
      </w:r>
      <w:r w:rsidRPr="00BB2874">
        <w:rPr>
          <w:rFonts w:cs="Arial"/>
          <w:sz w:val="22"/>
          <w:szCs w:val="22"/>
        </w:rPr>
        <w:t>GLA</w:t>
      </w:r>
      <w:r w:rsidRPr="00BB2874">
        <w:rPr>
          <w:rFonts w:cs="Arial"/>
          <w:sz w:val="22"/>
          <w:szCs w:val="22"/>
        </w:rPr>
        <w:t xml:space="preserve"> is reinsured 100% with Munich Re Australia (an APRA authorised insurer and reinsurer), along with a small amount of external third party reinsurance; and</w:t>
      </w:r>
    </w:p>
    <w:p w:rsidR="00991628" w:rsidRPr="00BB2874" w:rsidP="00991628">
      <w:pPr>
        <w:pStyle w:val="Heading3"/>
        <w:rPr>
          <w:rFonts w:cs="Arial"/>
          <w:b/>
          <w:color w:val="auto"/>
          <w:sz w:val="22"/>
          <w:szCs w:val="22"/>
          <w:shd w:val="clear" w:color="auto" w:fill="auto"/>
        </w:rPr>
      </w:pPr>
      <w:r w:rsidRPr="00BB2874">
        <w:rPr>
          <w:rFonts w:cs="Arial"/>
          <w:sz w:val="22"/>
          <w:szCs w:val="22"/>
        </w:rPr>
        <w:t>GLA</w:t>
      </w:r>
      <w:r w:rsidRPr="00BB2874">
        <w:rPr>
          <w:rFonts w:cs="Arial"/>
          <w:sz w:val="22"/>
          <w:szCs w:val="22"/>
        </w:rPr>
        <w:t xml:space="preserve"> will remain as a b</w:t>
      </w:r>
      <w:r w:rsidRPr="00BB2874">
        <w:rPr>
          <w:rFonts w:cs="Arial"/>
          <w:sz w:val="22"/>
          <w:szCs w:val="22"/>
        </w:rPr>
        <w:t>ranch in Australia, authorised by APRA, and the reinsurance will continue to protect remaining policyholders.</w:t>
      </w:r>
    </w:p>
    <w:p w:rsidR="008970DE" w:rsidRPr="00BB2874" w:rsidP="006C66DF">
      <w:pPr>
        <w:pStyle w:val="BodyText1"/>
        <w:keepNext/>
        <w:rPr>
          <w:rFonts w:cs="Arial"/>
          <w:b/>
          <w:bCs/>
          <w:color w:val="auto"/>
          <w:sz w:val="22"/>
          <w:szCs w:val="22"/>
          <w:shd w:val="clear" w:color="auto" w:fill="auto"/>
        </w:rPr>
      </w:pPr>
      <w:r w:rsidRPr="00BB2874">
        <w:rPr>
          <w:rFonts w:cs="Arial"/>
          <w:b/>
          <w:bCs/>
          <w:sz w:val="22"/>
          <w:szCs w:val="22"/>
        </w:rPr>
        <w:t>Effect of the Scheme on policyholders</w:t>
      </w:r>
    </w:p>
    <w:p w:rsidR="008970DE" w:rsidRPr="00BB2874" w:rsidP="006C66DF">
      <w:pPr>
        <w:pStyle w:val="Heading1"/>
        <w:rPr>
          <w:rFonts w:cs="Arial"/>
          <w:color w:val="auto"/>
          <w:sz w:val="22"/>
          <w:szCs w:val="22"/>
          <w:shd w:val="clear" w:color="auto" w:fill="auto"/>
        </w:rPr>
      </w:pPr>
      <w:r w:rsidRPr="00BB2874">
        <w:rPr>
          <w:rFonts w:cs="Arial"/>
          <w:sz w:val="22"/>
          <w:szCs w:val="22"/>
        </w:rPr>
        <w:t xml:space="preserve">The Scheme will not result in any change to the terms of your policy, or affect any claim that you have or may have under the </w:t>
      </w:r>
      <w:r w:rsidRPr="00BB2874" w:rsidR="006C66DF">
        <w:rPr>
          <w:rFonts w:cs="Arial"/>
          <w:sz w:val="22"/>
          <w:szCs w:val="22"/>
        </w:rPr>
        <w:t>Transferring Policies</w:t>
      </w:r>
      <w:r w:rsidRPr="00BB2874">
        <w:rPr>
          <w:rFonts w:cs="Arial"/>
          <w:sz w:val="22"/>
          <w:szCs w:val="22"/>
        </w:rPr>
        <w:t xml:space="preserve">. </w:t>
      </w:r>
    </w:p>
    <w:p w:rsidR="008970DE" w:rsidRPr="00BB2874" w:rsidP="00033873">
      <w:pPr>
        <w:pStyle w:val="Heading1"/>
        <w:rPr>
          <w:rFonts w:cs="Arial"/>
          <w:color w:val="auto"/>
          <w:sz w:val="22"/>
          <w:szCs w:val="22"/>
          <w:shd w:val="clear" w:color="auto" w:fill="auto"/>
        </w:rPr>
      </w:pPr>
      <w:r w:rsidRPr="00BB2874">
        <w:rPr>
          <w:rFonts w:cs="Arial"/>
          <w:sz w:val="22"/>
          <w:szCs w:val="22"/>
        </w:rPr>
        <w:t xml:space="preserve">By way of summary, on confirmation of the Scheme by the Court: </w:t>
      </w:r>
    </w:p>
    <w:p w:rsidR="008970DE" w:rsidRPr="00BB2874" w:rsidP="006C66DF">
      <w:pPr>
        <w:pStyle w:val="Heading3"/>
        <w:rPr>
          <w:rFonts w:cs="Arial"/>
          <w:color w:val="auto"/>
          <w:sz w:val="22"/>
          <w:szCs w:val="22"/>
          <w:shd w:val="clear" w:color="auto" w:fill="auto"/>
        </w:rPr>
      </w:pPr>
      <w:r w:rsidRPr="00BB2874">
        <w:rPr>
          <w:rFonts w:cs="Arial"/>
          <w:sz w:val="22"/>
          <w:szCs w:val="22"/>
        </w:rPr>
        <w:t xml:space="preserve">the rights, benefits and liabilities of policyholders under the </w:t>
      </w:r>
      <w:r w:rsidRPr="00BB2874" w:rsidR="006C66DF">
        <w:rPr>
          <w:rFonts w:cs="Arial"/>
          <w:sz w:val="22"/>
          <w:szCs w:val="22"/>
        </w:rPr>
        <w:t>Transferring Policies</w:t>
      </w:r>
      <w:r w:rsidRPr="00BB2874">
        <w:rPr>
          <w:rFonts w:cs="Arial"/>
          <w:sz w:val="22"/>
          <w:szCs w:val="22"/>
        </w:rPr>
        <w:t xml:space="preserve"> will be assumed by </w:t>
      </w:r>
      <w:r w:rsidRPr="00BB2874" w:rsidR="006C66DF">
        <w:rPr>
          <w:rFonts w:cs="Arial"/>
          <w:sz w:val="22"/>
          <w:szCs w:val="22"/>
        </w:rPr>
        <w:t>Gordian</w:t>
      </w:r>
      <w:r w:rsidRPr="00BB2874" w:rsidR="003B1773">
        <w:rPr>
          <w:rFonts w:cs="Arial"/>
          <w:sz w:val="22"/>
          <w:szCs w:val="22"/>
        </w:rPr>
        <w:t xml:space="preserve"> </w:t>
      </w:r>
      <w:r w:rsidRPr="00BB2874">
        <w:rPr>
          <w:rFonts w:cs="Arial"/>
          <w:sz w:val="22"/>
          <w:szCs w:val="22"/>
        </w:rPr>
        <w:t xml:space="preserve">in the place of </w:t>
      </w:r>
      <w:r w:rsidRPr="00BB2874" w:rsidR="006C66DF">
        <w:rPr>
          <w:rFonts w:cs="Arial"/>
          <w:sz w:val="22"/>
          <w:szCs w:val="22"/>
        </w:rPr>
        <w:t>GLA</w:t>
      </w:r>
      <w:r w:rsidRPr="00BB2874">
        <w:rPr>
          <w:rFonts w:cs="Arial"/>
          <w:sz w:val="22"/>
          <w:szCs w:val="22"/>
        </w:rPr>
        <w:t xml:space="preserve">, and will remain the same in all respects as they would have been if the </w:t>
      </w:r>
      <w:r w:rsidRPr="00BB2874" w:rsidR="006C66DF">
        <w:rPr>
          <w:rFonts w:cs="Arial"/>
          <w:sz w:val="22"/>
          <w:szCs w:val="22"/>
        </w:rPr>
        <w:t>Transferring Policies</w:t>
      </w:r>
      <w:r w:rsidRPr="00BB2874">
        <w:rPr>
          <w:rFonts w:cs="Arial"/>
          <w:sz w:val="22"/>
          <w:szCs w:val="22"/>
        </w:rPr>
        <w:t xml:space="preserve"> had been issued or entered into by </w:t>
      </w:r>
      <w:r w:rsidRPr="00BB2874" w:rsidR="006C66DF">
        <w:rPr>
          <w:rFonts w:cs="Arial"/>
          <w:sz w:val="22"/>
          <w:szCs w:val="22"/>
        </w:rPr>
        <w:t>Gordian</w:t>
      </w:r>
      <w:r w:rsidRPr="00BB2874" w:rsidR="003B1773">
        <w:rPr>
          <w:rFonts w:cs="Arial"/>
          <w:sz w:val="22"/>
          <w:szCs w:val="22"/>
        </w:rPr>
        <w:t xml:space="preserve"> </w:t>
      </w:r>
      <w:r w:rsidRPr="00BB2874">
        <w:rPr>
          <w:rFonts w:cs="Arial"/>
          <w:sz w:val="22"/>
          <w:szCs w:val="22"/>
        </w:rPr>
        <w:t xml:space="preserve">instead of </w:t>
      </w:r>
      <w:r w:rsidRPr="00BB2874" w:rsidR="006C66DF">
        <w:rPr>
          <w:rFonts w:cs="Arial"/>
          <w:sz w:val="22"/>
          <w:szCs w:val="22"/>
        </w:rPr>
        <w:t>GLA</w:t>
      </w:r>
      <w:r w:rsidRPr="00BB2874">
        <w:rPr>
          <w:rFonts w:cs="Arial"/>
          <w:sz w:val="22"/>
          <w:szCs w:val="22"/>
        </w:rPr>
        <w:t xml:space="preserve">.  In effect, the Scheme will result in the replacement of the insurer, but not the terms of any </w:t>
      </w:r>
      <w:r w:rsidRPr="00BB2874" w:rsidR="006C66DF">
        <w:rPr>
          <w:rFonts w:cs="Arial"/>
          <w:sz w:val="22"/>
          <w:szCs w:val="22"/>
        </w:rPr>
        <w:t>Transferring Policy</w:t>
      </w:r>
      <w:r w:rsidRPr="00BB2874">
        <w:rPr>
          <w:rFonts w:cs="Arial"/>
          <w:sz w:val="22"/>
          <w:szCs w:val="22"/>
        </w:rPr>
        <w:t xml:space="preserve">. </w:t>
      </w:r>
    </w:p>
    <w:p w:rsidR="008970DE" w:rsidRPr="00BB2874" w:rsidP="006C66DF">
      <w:pPr>
        <w:pStyle w:val="Heading3"/>
        <w:rPr>
          <w:rFonts w:cs="Arial"/>
          <w:color w:val="auto"/>
          <w:sz w:val="22"/>
          <w:szCs w:val="22"/>
          <w:shd w:val="clear" w:color="auto" w:fill="auto"/>
        </w:rPr>
      </w:pPr>
      <w:r w:rsidRPr="00BB2874">
        <w:rPr>
          <w:rFonts w:cs="Arial"/>
          <w:sz w:val="22"/>
          <w:szCs w:val="22"/>
        </w:rPr>
        <w:t>GLA</w:t>
      </w:r>
      <w:r w:rsidRPr="00BB2874" w:rsidR="00571C4B">
        <w:rPr>
          <w:rFonts w:cs="Arial"/>
          <w:sz w:val="22"/>
          <w:szCs w:val="22"/>
        </w:rPr>
        <w:t xml:space="preserve"> will be released and discharged from all liabilities and obligations under the </w:t>
      </w:r>
      <w:r w:rsidRPr="00BB2874">
        <w:rPr>
          <w:rFonts w:cs="Arial"/>
          <w:sz w:val="22"/>
          <w:szCs w:val="22"/>
        </w:rPr>
        <w:t>Transferring Policies</w:t>
      </w:r>
      <w:r w:rsidRPr="00BB2874" w:rsidR="00571C4B">
        <w:rPr>
          <w:rFonts w:cs="Arial"/>
          <w:sz w:val="22"/>
          <w:szCs w:val="22"/>
        </w:rPr>
        <w:t xml:space="preserve"> and all premiums and other amounts payable to or recoverable by </w:t>
      </w:r>
      <w:r w:rsidRPr="00BB2874">
        <w:rPr>
          <w:rFonts w:cs="Arial"/>
          <w:sz w:val="22"/>
          <w:szCs w:val="22"/>
        </w:rPr>
        <w:t>GLA</w:t>
      </w:r>
      <w:r w:rsidRPr="00BB2874" w:rsidR="00571C4B">
        <w:rPr>
          <w:rFonts w:cs="Arial"/>
          <w:sz w:val="22"/>
          <w:szCs w:val="22"/>
        </w:rPr>
        <w:t xml:space="preserve"> under the </w:t>
      </w:r>
      <w:r w:rsidRPr="00BB2874">
        <w:rPr>
          <w:rFonts w:cs="Arial"/>
          <w:sz w:val="22"/>
          <w:szCs w:val="22"/>
        </w:rPr>
        <w:t>Transferring Policies</w:t>
      </w:r>
      <w:r w:rsidRPr="00BB2874" w:rsidR="00571C4B">
        <w:rPr>
          <w:rFonts w:cs="Arial"/>
          <w:sz w:val="22"/>
          <w:szCs w:val="22"/>
        </w:rPr>
        <w:t xml:space="preserve"> will be payable to and recoverable by </w:t>
      </w:r>
      <w:r w:rsidRPr="00BB2874">
        <w:rPr>
          <w:rFonts w:cs="Arial"/>
          <w:sz w:val="22"/>
          <w:szCs w:val="22"/>
        </w:rPr>
        <w:t>Gordian</w:t>
      </w:r>
      <w:r w:rsidRPr="00BB2874" w:rsidR="00571C4B">
        <w:rPr>
          <w:rFonts w:cs="Arial"/>
          <w:sz w:val="22"/>
          <w:szCs w:val="22"/>
        </w:rPr>
        <w:t xml:space="preserve">. </w:t>
      </w:r>
    </w:p>
    <w:p w:rsidR="008970DE" w:rsidRPr="00BB2874" w:rsidP="006C66DF">
      <w:pPr>
        <w:pStyle w:val="Heading3"/>
        <w:rPr>
          <w:rFonts w:cs="Arial"/>
          <w:color w:val="auto"/>
          <w:sz w:val="22"/>
          <w:szCs w:val="22"/>
          <w:shd w:val="clear" w:color="auto" w:fill="auto"/>
        </w:rPr>
      </w:pPr>
      <w:r w:rsidRPr="00BB2874">
        <w:rPr>
          <w:rFonts w:cs="Arial"/>
          <w:sz w:val="22"/>
          <w:szCs w:val="22"/>
        </w:rPr>
        <w:t>a</w:t>
      </w:r>
      <w:r w:rsidRPr="00BB2874" w:rsidR="00571C4B">
        <w:rPr>
          <w:rFonts w:cs="Arial"/>
          <w:sz w:val="22"/>
          <w:szCs w:val="22"/>
        </w:rPr>
        <w:t xml:space="preserve">part from </w:t>
      </w:r>
      <w:r w:rsidRPr="00BB2874" w:rsidR="006C66DF">
        <w:rPr>
          <w:rFonts w:cs="Arial"/>
          <w:sz w:val="22"/>
          <w:szCs w:val="22"/>
        </w:rPr>
        <w:t>Gordian</w:t>
      </w:r>
      <w:r w:rsidRPr="00BB2874" w:rsidR="00571C4B">
        <w:rPr>
          <w:rFonts w:cs="Arial"/>
          <w:sz w:val="22"/>
          <w:szCs w:val="22"/>
        </w:rPr>
        <w:t xml:space="preserve"> becoming the insurer in place of </w:t>
      </w:r>
      <w:r w:rsidRPr="00BB2874" w:rsidR="006C66DF">
        <w:rPr>
          <w:rFonts w:cs="Arial"/>
          <w:sz w:val="22"/>
          <w:szCs w:val="22"/>
        </w:rPr>
        <w:t>GLA</w:t>
      </w:r>
      <w:r w:rsidRPr="00BB2874" w:rsidR="00571C4B">
        <w:rPr>
          <w:rFonts w:cs="Arial"/>
          <w:sz w:val="22"/>
          <w:szCs w:val="22"/>
        </w:rPr>
        <w:t xml:space="preserve"> under the </w:t>
      </w:r>
      <w:r w:rsidRPr="00BB2874" w:rsidR="006C66DF">
        <w:rPr>
          <w:rFonts w:cs="Arial"/>
          <w:sz w:val="22"/>
          <w:szCs w:val="22"/>
        </w:rPr>
        <w:t>Transferring Policies</w:t>
      </w:r>
      <w:r w:rsidRPr="00BB2874" w:rsidR="00571C4B">
        <w:rPr>
          <w:rFonts w:cs="Arial"/>
          <w:sz w:val="22"/>
          <w:szCs w:val="22"/>
        </w:rPr>
        <w:t xml:space="preserve">, the </w:t>
      </w:r>
      <w:r w:rsidRPr="00BB2874" w:rsidR="006C66DF">
        <w:rPr>
          <w:rFonts w:cs="Arial"/>
          <w:sz w:val="22"/>
          <w:szCs w:val="22"/>
        </w:rPr>
        <w:t>Transferring Policies</w:t>
      </w:r>
      <w:r w:rsidRPr="00BB2874" w:rsidR="00571C4B">
        <w:rPr>
          <w:rFonts w:cs="Arial"/>
          <w:sz w:val="22"/>
          <w:szCs w:val="22"/>
        </w:rPr>
        <w:t xml:space="preserve"> will be transferred to </w:t>
      </w:r>
      <w:r w:rsidRPr="00BB2874" w:rsidR="006C66DF">
        <w:rPr>
          <w:rFonts w:cs="Arial"/>
          <w:sz w:val="22"/>
          <w:szCs w:val="22"/>
        </w:rPr>
        <w:t>G</w:t>
      </w:r>
      <w:r w:rsidRPr="00BB2874" w:rsidR="006D5FEE">
        <w:rPr>
          <w:rFonts w:cs="Arial"/>
          <w:sz w:val="22"/>
          <w:szCs w:val="22"/>
        </w:rPr>
        <w:t>ordian</w:t>
      </w:r>
      <w:r w:rsidRPr="00BB2874" w:rsidR="00571C4B">
        <w:rPr>
          <w:rFonts w:cs="Arial"/>
          <w:sz w:val="22"/>
          <w:szCs w:val="22"/>
        </w:rPr>
        <w:t xml:space="preserve"> with the same terms and conditions as applied prior to the Scheme taking effect. </w:t>
      </w:r>
      <w:r w:rsidRPr="00BB2874" w:rsidR="006C66DF">
        <w:rPr>
          <w:rFonts w:cs="Arial"/>
          <w:sz w:val="22"/>
          <w:szCs w:val="22"/>
        </w:rPr>
        <w:t xml:space="preserve"> </w:t>
      </w:r>
      <w:r w:rsidRPr="00BB2874" w:rsidR="00571C4B">
        <w:rPr>
          <w:rFonts w:cs="Arial"/>
          <w:sz w:val="22"/>
          <w:szCs w:val="22"/>
        </w:rPr>
        <w:t xml:space="preserve">Any policyholder under the </w:t>
      </w:r>
      <w:r w:rsidRPr="00BB2874" w:rsidR="006C66DF">
        <w:rPr>
          <w:rFonts w:cs="Arial"/>
          <w:sz w:val="22"/>
          <w:szCs w:val="22"/>
        </w:rPr>
        <w:t>Transferring Policies</w:t>
      </w:r>
      <w:r w:rsidRPr="00BB2874" w:rsidR="00571C4B">
        <w:rPr>
          <w:rFonts w:cs="Arial"/>
          <w:sz w:val="22"/>
          <w:szCs w:val="22"/>
        </w:rPr>
        <w:t xml:space="preserve"> who has a claim on or obligation to </w:t>
      </w:r>
      <w:r w:rsidRPr="00BB2874" w:rsidR="006C66DF">
        <w:rPr>
          <w:rFonts w:cs="Arial"/>
          <w:sz w:val="22"/>
          <w:szCs w:val="22"/>
        </w:rPr>
        <w:t>GLA</w:t>
      </w:r>
      <w:r w:rsidRPr="00BB2874" w:rsidR="00571C4B">
        <w:rPr>
          <w:rFonts w:cs="Arial"/>
          <w:sz w:val="22"/>
          <w:szCs w:val="22"/>
        </w:rPr>
        <w:t xml:space="preserve"> pursuant to the </w:t>
      </w:r>
      <w:r w:rsidRPr="00BB2874" w:rsidR="006C66DF">
        <w:rPr>
          <w:rFonts w:cs="Arial"/>
          <w:sz w:val="22"/>
          <w:szCs w:val="22"/>
        </w:rPr>
        <w:t>Transferring Policies</w:t>
      </w:r>
      <w:r w:rsidRPr="00BB2874" w:rsidR="00571C4B">
        <w:rPr>
          <w:rFonts w:cs="Arial"/>
          <w:sz w:val="22"/>
          <w:szCs w:val="22"/>
        </w:rPr>
        <w:t xml:space="preserve"> will have the same claim on or obligation to </w:t>
      </w:r>
      <w:r w:rsidRPr="00BB2874" w:rsidR="006C66DF">
        <w:rPr>
          <w:rFonts w:cs="Arial"/>
          <w:sz w:val="22"/>
          <w:szCs w:val="22"/>
        </w:rPr>
        <w:t>Gordian</w:t>
      </w:r>
      <w:r w:rsidRPr="00BB2874" w:rsidR="00571C4B">
        <w:rPr>
          <w:rFonts w:cs="Arial"/>
          <w:sz w:val="22"/>
          <w:szCs w:val="22"/>
        </w:rPr>
        <w:t xml:space="preserve"> in substitution for his or her claim on or obligation to </w:t>
      </w:r>
      <w:r w:rsidRPr="00BB2874" w:rsidR="006C66DF">
        <w:rPr>
          <w:rFonts w:cs="Arial"/>
          <w:sz w:val="22"/>
          <w:szCs w:val="22"/>
        </w:rPr>
        <w:t>GLA</w:t>
      </w:r>
      <w:r w:rsidRPr="00BB2874" w:rsidR="00571C4B">
        <w:rPr>
          <w:rFonts w:cs="Arial"/>
          <w:sz w:val="22"/>
          <w:szCs w:val="22"/>
        </w:rPr>
        <w:t xml:space="preserve">. </w:t>
      </w:r>
    </w:p>
    <w:p w:rsidR="008970DE" w:rsidRPr="00BB2874" w:rsidP="003C6CE9">
      <w:pPr>
        <w:pStyle w:val="Heading1"/>
        <w:rPr>
          <w:rFonts w:cs="Arial"/>
          <w:color w:val="auto"/>
          <w:sz w:val="22"/>
          <w:szCs w:val="22"/>
          <w:shd w:val="clear" w:color="auto" w:fill="auto"/>
        </w:rPr>
      </w:pPr>
      <w:r w:rsidRPr="00BB2874">
        <w:rPr>
          <w:rFonts w:cs="Arial"/>
          <w:sz w:val="22"/>
          <w:szCs w:val="22"/>
        </w:rPr>
        <w:t>Policyholders are not required to take any action before or as a result of the Scheme</w:t>
      </w:r>
      <w:r w:rsidRPr="00BB2874" w:rsidR="003C6CE9">
        <w:rPr>
          <w:rFonts w:cs="Arial"/>
          <w:sz w:val="22"/>
          <w:szCs w:val="22"/>
        </w:rPr>
        <w:t xml:space="preserve"> however,</w:t>
      </w:r>
      <w:r w:rsidRPr="00BB2874" w:rsidR="00CA0C48">
        <w:rPr>
          <w:rFonts w:cs="Arial"/>
          <w:sz w:val="22"/>
          <w:szCs w:val="22"/>
        </w:rPr>
        <w:t xml:space="preserve"> polic</w:t>
      </w:r>
      <w:r w:rsidRPr="00BB2874" w:rsidR="00376EE5">
        <w:rPr>
          <w:rFonts w:cs="Arial"/>
          <w:sz w:val="22"/>
          <w:szCs w:val="22"/>
        </w:rPr>
        <w:t>y</w:t>
      </w:r>
      <w:r w:rsidRPr="00BB2874" w:rsidR="00CA0C48">
        <w:rPr>
          <w:rFonts w:cs="Arial"/>
          <w:sz w:val="22"/>
          <w:szCs w:val="22"/>
        </w:rPr>
        <w:t>holders</w:t>
      </w:r>
      <w:r w:rsidRPr="00BB2874" w:rsidR="00933734">
        <w:rPr>
          <w:rFonts w:cs="Arial"/>
          <w:sz w:val="22"/>
          <w:szCs w:val="22"/>
        </w:rPr>
        <w:t xml:space="preserve"> have a right to object to the Scheme and</w:t>
      </w:r>
      <w:r w:rsidRPr="00BB2874" w:rsidR="003C6CE9">
        <w:rPr>
          <w:rFonts w:cs="Arial"/>
          <w:sz w:val="22"/>
          <w:szCs w:val="22"/>
        </w:rPr>
        <w:t xml:space="preserve"> may attend Court and be heard on the application for confirmation of the Scheme. T</w:t>
      </w:r>
      <w:r w:rsidRPr="00BB2874">
        <w:rPr>
          <w:rFonts w:cs="Arial"/>
          <w:sz w:val="22"/>
          <w:szCs w:val="22"/>
        </w:rPr>
        <w:t xml:space="preserve">he terms of the </w:t>
      </w:r>
      <w:r w:rsidRPr="00BB2874" w:rsidR="006C66DF">
        <w:rPr>
          <w:rFonts w:cs="Arial"/>
          <w:sz w:val="22"/>
          <w:szCs w:val="22"/>
        </w:rPr>
        <w:t>Transferring Policies</w:t>
      </w:r>
      <w:r w:rsidRPr="00BB2874">
        <w:rPr>
          <w:rFonts w:cs="Arial"/>
          <w:sz w:val="22"/>
          <w:szCs w:val="22"/>
        </w:rPr>
        <w:t xml:space="preserve"> will not be varied as a consequence of the Scheme, save for the substitution of </w:t>
      </w:r>
      <w:r w:rsidRPr="00BB2874" w:rsidR="006C66DF">
        <w:rPr>
          <w:rFonts w:cs="Arial"/>
          <w:sz w:val="22"/>
          <w:szCs w:val="22"/>
        </w:rPr>
        <w:t>Gordian</w:t>
      </w:r>
      <w:r w:rsidRPr="00BB2874">
        <w:rPr>
          <w:rFonts w:cs="Arial"/>
          <w:sz w:val="22"/>
          <w:szCs w:val="22"/>
        </w:rPr>
        <w:t xml:space="preserve"> as the insurer.</w:t>
      </w:r>
    </w:p>
    <w:p w:rsidR="008970DE" w:rsidRPr="00BB2874" w:rsidP="00033873">
      <w:pPr>
        <w:pStyle w:val="Heading1"/>
        <w:rPr>
          <w:rFonts w:cs="Arial"/>
          <w:color w:val="auto"/>
          <w:sz w:val="22"/>
          <w:szCs w:val="22"/>
          <w:shd w:val="clear" w:color="auto" w:fill="auto"/>
        </w:rPr>
      </w:pPr>
      <w:r w:rsidRPr="00BB2874">
        <w:rPr>
          <w:rFonts w:cs="Arial"/>
          <w:sz w:val="22"/>
          <w:szCs w:val="22"/>
        </w:rPr>
        <w:t>Upon confirmation of the Scheme by the Federal Court of Australia, the Scheme becomes binding on all parties.</w:t>
      </w:r>
    </w:p>
    <w:p w:rsidR="008970DE" w:rsidRPr="00BB2874" w:rsidP="006C66DF">
      <w:pPr>
        <w:pStyle w:val="Heading1"/>
        <w:rPr>
          <w:rFonts w:cs="Arial"/>
          <w:color w:val="auto"/>
          <w:sz w:val="22"/>
          <w:szCs w:val="22"/>
          <w:shd w:val="clear" w:color="auto" w:fill="auto"/>
        </w:rPr>
      </w:pPr>
      <w:r w:rsidRPr="00BB2874">
        <w:rPr>
          <w:rFonts w:cs="Arial"/>
          <w:sz w:val="22"/>
          <w:szCs w:val="22"/>
        </w:rPr>
        <w:t xml:space="preserve">Following completion of the transfer, </w:t>
      </w:r>
      <w:r w:rsidRPr="00BB2874" w:rsidR="006C66DF">
        <w:rPr>
          <w:rFonts w:cs="Arial"/>
          <w:sz w:val="22"/>
          <w:szCs w:val="22"/>
        </w:rPr>
        <w:t>Gordian</w:t>
      </w:r>
      <w:r w:rsidRPr="00BB2874">
        <w:rPr>
          <w:rFonts w:cs="Arial"/>
          <w:sz w:val="22"/>
          <w:szCs w:val="22"/>
        </w:rPr>
        <w:t xml:space="preserve"> will be required under the Insurance Act to continue to comply with APRA prudential standards and all other laws applicable to it.</w:t>
      </w:r>
    </w:p>
    <w:p w:rsidR="008970DE" w:rsidRPr="00BB2874" w:rsidP="006C66DF">
      <w:pPr>
        <w:pStyle w:val="BodyText1"/>
        <w:keepNext/>
        <w:rPr>
          <w:rFonts w:cs="Arial"/>
          <w:b/>
          <w:bCs/>
          <w:color w:val="auto"/>
          <w:sz w:val="22"/>
          <w:szCs w:val="22"/>
          <w:shd w:val="clear" w:color="auto" w:fill="auto"/>
        </w:rPr>
      </w:pPr>
      <w:r w:rsidRPr="00BB2874">
        <w:rPr>
          <w:rFonts w:cs="Arial"/>
          <w:b/>
          <w:bCs/>
          <w:sz w:val="22"/>
          <w:szCs w:val="22"/>
        </w:rPr>
        <w:t xml:space="preserve">Policyholders’ right to appear </w:t>
      </w:r>
    </w:p>
    <w:p w:rsidR="008970DE" w:rsidRPr="00BB2874" w:rsidP="006C66DF">
      <w:pPr>
        <w:pStyle w:val="Heading1"/>
        <w:rPr>
          <w:rFonts w:cs="Arial"/>
          <w:color w:val="auto"/>
          <w:sz w:val="22"/>
          <w:szCs w:val="22"/>
          <w:shd w:val="clear" w:color="auto" w:fill="auto"/>
        </w:rPr>
      </w:pPr>
      <w:r w:rsidRPr="00BB2874">
        <w:rPr>
          <w:rFonts w:cs="Arial"/>
          <w:sz w:val="22"/>
          <w:szCs w:val="22"/>
        </w:rPr>
        <w:t xml:space="preserve">An application for confirmation of the Scheme will be made to the Court in </w:t>
      </w:r>
      <w:r w:rsidRPr="00BB2874" w:rsidR="00140E4F">
        <w:rPr>
          <w:rFonts w:cs="Arial"/>
          <w:sz w:val="22"/>
          <w:szCs w:val="22"/>
        </w:rPr>
        <w:t xml:space="preserve">Sydney </w:t>
      </w:r>
      <w:r w:rsidRPr="00BB2874">
        <w:rPr>
          <w:rFonts w:cs="Arial"/>
          <w:sz w:val="22"/>
          <w:szCs w:val="22"/>
        </w:rPr>
        <w:t xml:space="preserve">on </w:t>
      </w:r>
      <w:r w:rsidR="00BB7DDB">
        <w:rPr>
          <w:rFonts w:cs="Arial"/>
          <w:sz w:val="22"/>
          <w:szCs w:val="22"/>
        </w:rPr>
        <w:t>26 June 2020</w:t>
      </w:r>
      <w:r w:rsidRPr="00BB2874" w:rsidR="006C66DF">
        <w:rPr>
          <w:rFonts w:cs="Arial"/>
          <w:sz w:val="22"/>
          <w:szCs w:val="22"/>
        </w:rPr>
        <w:t xml:space="preserve"> </w:t>
      </w:r>
      <w:r w:rsidRPr="00BB2874">
        <w:rPr>
          <w:rFonts w:cs="Arial"/>
          <w:sz w:val="22"/>
          <w:szCs w:val="22"/>
        </w:rPr>
        <w:t xml:space="preserve">at </w:t>
      </w:r>
      <w:r w:rsidR="004C34A8">
        <w:rPr>
          <w:rFonts w:cs="Arial"/>
          <w:sz w:val="22"/>
          <w:szCs w:val="22"/>
        </w:rPr>
        <w:t>10:15am</w:t>
      </w:r>
      <w:r w:rsidR="004C34A8">
        <w:rPr>
          <w:rFonts w:cs="Arial"/>
          <w:sz w:val="22"/>
          <w:szCs w:val="22"/>
        </w:rPr>
        <w:t>,</w:t>
      </w:r>
      <w:r w:rsidRPr="00BB2874">
        <w:rPr>
          <w:rFonts w:cs="Arial"/>
          <w:sz w:val="22"/>
          <w:szCs w:val="22"/>
        </w:rPr>
        <w:t xml:space="preserve"> or such later date as the Court appoints. Any policyholder affected by the Scheme has the right to attend the Court hearing and be heard by the Court on the application for confirmation of the Scheme. </w:t>
      </w:r>
    </w:p>
    <w:p w:rsidR="00BB7DDB" w:rsidP="002B6B8A">
      <w:pPr>
        <w:pStyle w:val="Heading1"/>
        <w:rPr>
          <w:rFonts w:cs="Arial"/>
          <w:color w:val="auto"/>
          <w:sz w:val="22"/>
          <w:szCs w:val="22"/>
          <w:shd w:val="clear" w:color="auto" w:fill="auto"/>
        </w:rPr>
      </w:pPr>
      <w:r w:rsidRPr="00BB2874">
        <w:rPr>
          <w:rFonts w:cs="Arial"/>
          <w:sz w:val="22"/>
          <w:szCs w:val="22"/>
        </w:rPr>
        <w:t>If you wish to appear at the hearing</w:t>
      </w:r>
      <w:r w:rsidRPr="00BB2874" w:rsidR="003C6CE9">
        <w:rPr>
          <w:rFonts w:cs="Arial"/>
          <w:sz w:val="22"/>
          <w:szCs w:val="22"/>
        </w:rPr>
        <w:t>,</w:t>
      </w:r>
      <w:r w:rsidRPr="00BB2874">
        <w:rPr>
          <w:rFonts w:cs="Arial"/>
          <w:sz w:val="22"/>
          <w:szCs w:val="22"/>
        </w:rPr>
        <w:t xml:space="preserve"> </w:t>
      </w:r>
      <w:r w:rsidRPr="00BB2874" w:rsidR="00376EE5">
        <w:rPr>
          <w:rFonts w:cs="Arial"/>
          <w:sz w:val="22"/>
          <w:szCs w:val="22"/>
        </w:rPr>
        <w:t xml:space="preserve">we ask that you </w:t>
      </w:r>
      <w:r w:rsidRPr="00BB2874">
        <w:rPr>
          <w:rFonts w:cs="Arial"/>
          <w:sz w:val="22"/>
          <w:szCs w:val="22"/>
        </w:rPr>
        <w:t xml:space="preserve">advise the </w:t>
      </w:r>
      <w:r w:rsidR="002B6B8A">
        <w:rPr>
          <w:rFonts w:cs="Arial"/>
          <w:sz w:val="22"/>
          <w:szCs w:val="22"/>
        </w:rPr>
        <w:t>lawyer</w:t>
      </w:r>
      <w:r w:rsidRPr="00BB2874" w:rsidR="002B6B8A">
        <w:rPr>
          <w:rFonts w:cs="Arial"/>
          <w:sz w:val="22"/>
          <w:szCs w:val="22"/>
        </w:rPr>
        <w:t xml:space="preserve"> </w:t>
      </w:r>
      <w:r w:rsidRPr="00BB2874">
        <w:rPr>
          <w:rFonts w:cs="Arial"/>
          <w:sz w:val="22"/>
          <w:szCs w:val="22"/>
        </w:rPr>
        <w:t xml:space="preserve">for </w:t>
      </w:r>
      <w:r w:rsidRPr="00BB2874" w:rsidR="00CC3FEE">
        <w:rPr>
          <w:rFonts w:cs="Arial"/>
          <w:sz w:val="22"/>
          <w:szCs w:val="22"/>
        </w:rPr>
        <w:t>GLA</w:t>
      </w:r>
      <w:r w:rsidRPr="00BB2874" w:rsidR="00CC3FEE">
        <w:rPr>
          <w:rFonts w:cs="Arial"/>
          <w:sz w:val="22"/>
          <w:szCs w:val="22"/>
        </w:rPr>
        <w:t>, Rehana Box of Ashurst (Level 11, 5 Martin Place, Sydney NSW, 2000)</w:t>
      </w:r>
      <w:r w:rsidRPr="00BB2874">
        <w:rPr>
          <w:rFonts w:cs="Arial"/>
          <w:sz w:val="22"/>
          <w:szCs w:val="22"/>
        </w:rPr>
        <w:t xml:space="preserve"> by phone on (0</w:t>
      </w:r>
      <w:r w:rsidRPr="00BB2874" w:rsidR="00CC3FEE">
        <w:rPr>
          <w:rFonts w:cs="Arial"/>
          <w:sz w:val="22"/>
          <w:szCs w:val="22"/>
        </w:rPr>
        <w:t>2</w:t>
      </w:r>
      <w:r w:rsidRPr="00BB2874">
        <w:rPr>
          <w:rFonts w:cs="Arial"/>
          <w:sz w:val="22"/>
          <w:szCs w:val="22"/>
        </w:rPr>
        <w:t xml:space="preserve">) </w:t>
      </w:r>
      <w:r w:rsidRPr="00BB2874" w:rsidR="00CC3FEE">
        <w:rPr>
          <w:rFonts w:cs="Arial"/>
          <w:sz w:val="22"/>
          <w:szCs w:val="22"/>
        </w:rPr>
        <w:t>9258</w:t>
      </w:r>
      <w:r w:rsidRPr="00BB2874" w:rsidR="006C6132">
        <w:rPr>
          <w:rFonts w:cs="Arial"/>
          <w:sz w:val="22"/>
          <w:szCs w:val="22"/>
        </w:rPr>
        <w:t xml:space="preserve"> </w:t>
      </w:r>
      <w:r w:rsidRPr="00BB2874" w:rsidR="00CC3FEE">
        <w:rPr>
          <w:rFonts w:cs="Arial"/>
          <w:sz w:val="22"/>
          <w:szCs w:val="22"/>
        </w:rPr>
        <w:t>6407</w:t>
      </w:r>
      <w:r w:rsidRPr="00BB2874">
        <w:rPr>
          <w:rFonts w:cs="Arial"/>
          <w:sz w:val="22"/>
          <w:szCs w:val="22"/>
        </w:rPr>
        <w:t xml:space="preserve"> </w:t>
      </w:r>
      <w:r>
        <w:rPr>
          <w:rFonts w:cs="Arial"/>
          <w:sz w:val="22"/>
          <w:szCs w:val="22"/>
        </w:rPr>
        <w:t xml:space="preserve">before close of business on 23 June 2020. Your options for attending are: </w:t>
      </w:r>
    </w:p>
    <w:p w:rsidR="002B6B8A" w:rsidP="00BB7DDB">
      <w:pPr>
        <w:pStyle w:val="Heading3"/>
        <w:rPr>
          <w:rFonts w:cs="Arial"/>
          <w:color w:val="auto"/>
          <w:sz w:val="22"/>
          <w:szCs w:val="22"/>
          <w:shd w:val="clear" w:color="auto" w:fill="auto"/>
        </w:rPr>
      </w:pPr>
      <w:r>
        <w:rPr>
          <w:rFonts w:cs="Arial"/>
          <w:sz w:val="22"/>
          <w:szCs w:val="22"/>
        </w:rPr>
        <w:t xml:space="preserve">If it is lawful for you to do so given current </w:t>
      </w:r>
      <w:r>
        <w:rPr>
          <w:rFonts w:cs="Arial"/>
          <w:sz w:val="22"/>
          <w:szCs w:val="22"/>
        </w:rPr>
        <w:t>Covid</w:t>
      </w:r>
      <w:r>
        <w:rPr>
          <w:rFonts w:cs="Arial"/>
          <w:sz w:val="22"/>
          <w:szCs w:val="22"/>
        </w:rPr>
        <w:t xml:space="preserve">-19 restrictions in NSW, you may attend in person at the Federal Court, Court 1, Queens' Square, 184 Phillip Street, Sydney 2000. </w:t>
      </w:r>
    </w:p>
    <w:p w:rsidR="008245E3" w:rsidP="00BB7DDB">
      <w:pPr>
        <w:pStyle w:val="Heading3"/>
        <w:rPr>
          <w:rFonts w:cs="Arial"/>
          <w:color w:val="auto"/>
          <w:sz w:val="22"/>
          <w:szCs w:val="22"/>
          <w:shd w:val="clear" w:color="auto" w:fill="auto"/>
        </w:rPr>
      </w:pPr>
      <w:r w:rsidRPr="00BB7DDB">
        <w:rPr>
          <w:rFonts w:cs="Arial"/>
          <w:sz w:val="22"/>
          <w:szCs w:val="22"/>
        </w:rPr>
        <w:t xml:space="preserve">Alternatively, you may contact the Associate to the Chief Justice of the Federal Court on </w:t>
      </w:r>
      <w:r>
        <w:fldChar w:fldCharType="begin"/>
      </w:r>
      <w:r>
        <w:instrText xml:space="preserve"> HYPERLINK "mailto:Associate.AllsopCJ@fedcourt.gov.au" </w:instrText>
      </w:r>
      <w:r>
        <w:fldChar w:fldCharType="separate"/>
      </w:r>
      <w:r w:rsidRPr="00B621C0" w:rsidR="000341FE">
        <w:rPr>
          <w:rStyle w:val="Hyperlink"/>
          <w:rFonts w:cs="Arial"/>
          <w:sz w:val="22"/>
          <w:szCs w:val="22"/>
        </w:rPr>
        <w:t>Associate.AllsopCJ@fedcourt.gov.au</w:t>
      </w:r>
      <w:r>
        <w:fldChar w:fldCharType="end"/>
      </w:r>
      <w:r w:rsidRPr="00BB7DDB">
        <w:rPr>
          <w:rFonts w:cs="Arial"/>
          <w:sz w:val="22"/>
          <w:szCs w:val="22"/>
        </w:rPr>
        <w:t xml:space="preserve">. </w:t>
      </w:r>
    </w:p>
    <w:p w:rsidR="00BB7DDB" w:rsidP="008245E3">
      <w:pPr>
        <w:pStyle w:val="Heading3"/>
        <w:numPr>
          <w:ilvl w:val="0"/>
          <w:numId w:val="0"/>
        </w:numPr>
        <w:ind w:left="1418"/>
        <w:rPr>
          <w:rFonts w:cs="Arial"/>
          <w:color w:val="auto"/>
          <w:sz w:val="22"/>
          <w:szCs w:val="22"/>
          <w:shd w:val="clear" w:color="auto" w:fill="auto"/>
        </w:rPr>
      </w:pPr>
      <w:r w:rsidRPr="00BB7DDB">
        <w:rPr>
          <w:rFonts w:cs="Arial"/>
          <w:sz w:val="22"/>
          <w:szCs w:val="22"/>
        </w:rPr>
        <w:t>The Court will provide you with the details of how to appear via Microsoft Teams.</w:t>
      </w:r>
      <w:r w:rsidR="000341FE">
        <w:rPr>
          <w:rFonts w:cs="Arial"/>
          <w:sz w:val="22"/>
          <w:szCs w:val="22"/>
        </w:rPr>
        <w:t xml:space="preserve">  </w:t>
      </w:r>
      <w:r w:rsidRPr="00BB7DDB">
        <w:rPr>
          <w:rFonts w:cs="Arial"/>
          <w:sz w:val="22"/>
          <w:szCs w:val="22"/>
        </w:rPr>
        <w:t xml:space="preserve">If you would like to appear by Microsoft Teams but do not have </w:t>
      </w:r>
      <w:r w:rsidRPr="00BB7DDB">
        <w:rPr>
          <w:rFonts w:cs="Arial"/>
          <w:sz w:val="22"/>
          <w:szCs w:val="22"/>
        </w:rPr>
        <w:t>access to Microsoft Teams, Ashurst can arrange access for you at its Sydney office by prior arrangement</w:t>
      </w:r>
      <w:r>
        <w:rPr>
          <w:rFonts w:cs="Arial"/>
          <w:sz w:val="22"/>
          <w:szCs w:val="22"/>
        </w:rPr>
        <w:t>.</w:t>
      </w:r>
    </w:p>
    <w:p w:rsidR="008245E3" w:rsidP="00BB7DDB">
      <w:pPr>
        <w:pStyle w:val="Heading3"/>
        <w:rPr>
          <w:rFonts w:cs="Arial"/>
          <w:color w:val="auto"/>
          <w:sz w:val="22"/>
          <w:szCs w:val="22"/>
          <w:shd w:val="clear" w:color="auto" w:fill="auto"/>
        </w:rPr>
      </w:pPr>
      <w:r w:rsidRPr="00BB7DDB">
        <w:rPr>
          <w:rFonts w:cs="Arial"/>
          <w:sz w:val="22"/>
          <w:szCs w:val="22"/>
        </w:rPr>
        <w:t xml:space="preserve">Alternatively, to dial in and hear these proceedings, please contact the Associate to the Chief Justice of the Federal Court on </w:t>
      </w:r>
      <w:r>
        <w:fldChar w:fldCharType="begin"/>
      </w:r>
      <w:r>
        <w:instrText xml:space="preserve"> HYPERLINK "mailto:Associate.AllsopCJ@fedcourt.gov.au" </w:instrText>
      </w:r>
      <w:r>
        <w:fldChar w:fldCharType="separate"/>
      </w:r>
      <w:r w:rsidRPr="00B621C0" w:rsidR="000341FE">
        <w:rPr>
          <w:rStyle w:val="Hyperlink"/>
          <w:rFonts w:cs="Arial"/>
          <w:sz w:val="22"/>
          <w:szCs w:val="22"/>
        </w:rPr>
        <w:t>Associate.AllsopCJ@fedcourt.gov.au</w:t>
      </w:r>
      <w:r>
        <w:fldChar w:fldCharType="end"/>
      </w:r>
      <w:r w:rsidR="000341FE">
        <w:rPr>
          <w:rFonts w:cs="Arial"/>
          <w:sz w:val="22"/>
          <w:szCs w:val="22"/>
        </w:rPr>
        <w:t xml:space="preserve"> </w:t>
      </w:r>
      <w:r w:rsidRPr="00BB7DDB">
        <w:rPr>
          <w:rFonts w:cs="Arial"/>
          <w:sz w:val="22"/>
          <w:szCs w:val="22"/>
        </w:rPr>
        <w:t xml:space="preserve">prior to the hearing, and you will be provided with dial-in details. </w:t>
      </w:r>
    </w:p>
    <w:p w:rsidR="00BB7DDB" w:rsidRPr="00BB7DDB" w:rsidP="008245E3">
      <w:pPr>
        <w:pStyle w:val="Heading3"/>
        <w:numPr>
          <w:ilvl w:val="0"/>
          <w:numId w:val="0"/>
        </w:numPr>
        <w:ind w:left="1418"/>
        <w:rPr>
          <w:rFonts w:cs="Arial"/>
          <w:color w:val="auto"/>
          <w:sz w:val="22"/>
          <w:szCs w:val="22"/>
          <w:shd w:val="clear" w:color="auto" w:fill="auto"/>
        </w:rPr>
      </w:pPr>
      <w:r w:rsidRPr="00BB7DDB">
        <w:rPr>
          <w:rFonts w:cs="Arial"/>
          <w:sz w:val="22"/>
          <w:szCs w:val="22"/>
        </w:rPr>
        <w:t>As you will not be able to be seen using this method of attendance, you will not be able to appear before the Court and make submissions.</w:t>
      </w:r>
      <w:r w:rsidR="008245E3">
        <w:rPr>
          <w:rFonts w:cs="Arial"/>
          <w:sz w:val="22"/>
          <w:szCs w:val="22"/>
        </w:rPr>
        <w:t xml:space="preserve">  </w:t>
      </w:r>
      <w:r w:rsidRPr="00BB7DDB">
        <w:rPr>
          <w:rFonts w:cs="Arial"/>
          <w:sz w:val="22"/>
          <w:szCs w:val="22"/>
        </w:rPr>
        <w:t>Should you wish to appear, you will need to either attend using Microsoft Teams or attend the Court in person.</w:t>
      </w:r>
    </w:p>
    <w:p w:rsidR="008970DE" w:rsidRPr="00BB2874" w:rsidP="002B6B8A">
      <w:pPr>
        <w:pStyle w:val="Heading1"/>
        <w:rPr>
          <w:rFonts w:cs="Arial"/>
          <w:color w:val="auto"/>
          <w:sz w:val="22"/>
          <w:szCs w:val="22"/>
          <w:shd w:val="clear" w:color="auto" w:fill="auto"/>
        </w:rPr>
      </w:pPr>
      <w:r w:rsidRPr="00BB2874">
        <w:rPr>
          <w:rFonts w:cs="Arial"/>
          <w:sz w:val="22"/>
          <w:szCs w:val="22"/>
        </w:rPr>
        <w:t xml:space="preserve">Notification </w:t>
      </w:r>
      <w:r w:rsidRPr="00BB2874" w:rsidR="00553AC8">
        <w:rPr>
          <w:rFonts w:cs="Arial"/>
          <w:sz w:val="22"/>
          <w:szCs w:val="22"/>
        </w:rPr>
        <w:t>to</w:t>
      </w:r>
      <w:r w:rsidRPr="00BB2874">
        <w:rPr>
          <w:rFonts w:cs="Arial"/>
          <w:sz w:val="22"/>
          <w:szCs w:val="22"/>
        </w:rPr>
        <w:t xml:space="preserve"> the solicitor is preferred but not mandatory</w:t>
      </w:r>
      <w:r w:rsidR="00460AA5">
        <w:rPr>
          <w:rFonts w:cs="Arial"/>
          <w:sz w:val="22"/>
          <w:szCs w:val="22"/>
        </w:rPr>
        <w:t xml:space="preserve"> if you wish to attend court personally or you make arrangements with the court to attend via video or audio conferencing.</w:t>
      </w:r>
      <w:r w:rsidR="005F00B0">
        <w:rPr>
          <w:rFonts w:cs="Arial"/>
          <w:sz w:val="22"/>
          <w:szCs w:val="22"/>
        </w:rPr>
        <w:t xml:space="preserve"> </w:t>
      </w:r>
      <w:r w:rsidR="00460AA5">
        <w:rPr>
          <w:rFonts w:cs="Arial"/>
          <w:sz w:val="22"/>
          <w:szCs w:val="22"/>
        </w:rPr>
        <w:t xml:space="preserve"> However, if you wish to appear by </w:t>
      </w:r>
      <w:r w:rsidR="00460AA5">
        <w:rPr>
          <w:rFonts w:cs="Arial"/>
          <w:sz w:val="22"/>
          <w:szCs w:val="22"/>
        </w:rPr>
        <w:t>videolink</w:t>
      </w:r>
      <w:r w:rsidR="00460AA5">
        <w:rPr>
          <w:rFonts w:cs="Arial"/>
          <w:sz w:val="22"/>
          <w:szCs w:val="22"/>
        </w:rPr>
        <w:t xml:space="preserve"> and do not have access to Microsoft teams, you will need to contact Ashurst to make arrangements</w:t>
      </w:r>
      <w:r w:rsidRPr="00BB2874">
        <w:rPr>
          <w:rFonts w:cs="Arial"/>
          <w:sz w:val="22"/>
          <w:szCs w:val="22"/>
        </w:rPr>
        <w:t xml:space="preserve">. </w:t>
      </w:r>
    </w:p>
    <w:p w:rsidR="008970DE" w:rsidRPr="00BB2874" w:rsidP="00033873">
      <w:pPr>
        <w:pStyle w:val="Heading1"/>
        <w:rPr>
          <w:rFonts w:cs="Arial"/>
          <w:color w:val="auto"/>
          <w:sz w:val="22"/>
          <w:szCs w:val="22"/>
          <w:shd w:val="clear" w:color="auto" w:fill="auto"/>
        </w:rPr>
      </w:pPr>
      <w:r w:rsidRPr="00BB2874">
        <w:rPr>
          <w:rFonts w:cs="Arial"/>
          <w:sz w:val="22"/>
          <w:szCs w:val="22"/>
        </w:rPr>
        <w:t xml:space="preserve">Any policyholder affected by the Scheme is not required to take any action if they have no objection to the Scheme. </w:t>
      </w:r>
    </w:p>
    <w:p w:rsidR="008970DE" w:rsidRPr="00BB2874" w:rsidP="00033873">
      <w:pPr>
        <w:pStyle w:val="Heading1"/>
        <w:rPr>
          <w:rFonts w:cs="Arial"/>
          <w:color w:val="auto"/>
          <w:sz w:val="22"/>
          <w:szCs w:val="22"/>
          <w:shd w:val="clear" w:color="auto" w:fill="auto"/>
        </w:rPr>
      </w:pPr>
      <w:r w:rsidRPr="00BB2874">
        <w:rPr>
          <w:rFonts w:cs="Arial"/>
          <w:sz w:val="22"/>
          <w:szCs w:val="22"/>
        </w:rPr>
        <w:t>Other than the right to appear, any person who holds a policy affected by the Scheme</w:t>
      </w:r>
      <w:r w:rsidRPr="00BB2874" w:rsidR="00376EE5">
        <w:rPr>
          <w:rFonts w:cs="Arial"/>
          <w:sz w:val="22"/>
          <w:szCs w:val="22"/>
        </w:rPr>
        <w:t xml:space="preserve"> also</w:t>
      </w:r>
      <w:r w:rsidRPr="00BB2874">
        <w:rPr>
          <w:rFonts w:cs="Arial"/>
          <w:sz w:val="22"/>
          <w:szCs w:val="22"/>
        </w:rPr>
        <w:t xml:space="preserve"> has the right to obtain a copy of the Scheme free of charge on request.</w:t>
      </w:r>
    </w:p>
    <w:p w:rsidR="008970DE" w:rsidRPr="00BB2874" w:rsidP="006C66DF">
      <w:pPr>
        <w:pStyle w:val="BodyText1"/>
        <w:keepNext/>
        <w:rPr>
          <w:rFonts w:cs="Arial"/>
          <w:b/>
          <w:bCs/>
          <w:color w:val="auto"/>
          <w:sz w:val="22"/>
          <w:szCs w:val="22"/>
          <w:shd w:val="clear" w:color="auto" w:fill="auto"/>
        </w:rPr>
      </w:pPr>
      <w:bookmarkStart w:id="2" w:name="_Hlk39245351"/>
      <w:bookmarkStart w:id="3" w:name="_Hlk39245329"/>
      <w:r w:rsidRPr="00BB2874">
        <w:rPr>
          <w:rFonts w:cs="Arial"/>
          <w:b/>
          <w:bCs/>
          <w:sz w:val="22"/>
          <w:szCs w:val="22"/>
        </w:rPr>
        <w:t>Further information and public inspection</w:t>
      </w:r>
    </w:p>
    <w:p w:rsidR="00CE68F1" w:rsidRPr="00BB2874" w:rsidP="00517D31">
      <w:pPr>
        <w:pStyle w:val="Heading1"/>
        <w:keepNext/>
        <w:rPr>
          <w:rFonts w:cs="Arial"/>
          <w:color w:val="auto"/>
          <w:sz w:val="22"/>
          <w:szCs w:val="22"/>
          <w:shd w:val="clear" w:color="auto" w:fill="auto"/>
        </w:rPr>
      </w:pPr>
      <w:r w:rsidRPr="00BB2874">
        <w:rPr>
          <w:rFonts w:cs="Arial"/>
          <w:sz w:val="22"/>
          <w:szCs w:val="22"/>
        </w:rPr>
        <w:t xml:space="preserve">Copies of this </w:t>
      </w:r>
      <w:r w:rsidRPr="00BB2874" w:rsidR="00503A50">
        <w:rPr>
          <w:rFonts w:cs="Arial"/>
          <w:sz w:val="22"/>
          <w:szCs w:val="22"/>
        </w:rPr>
        <w:t xml:space="preserve">summary of the Scheme, </w:t>
      </w:r>
      <w:r w:rsidRPr="00BB2874">
        <w:rPr>
          <w:rFonts w:cs="Arial"/>
          <w:sz w:val="22"/>
          <w:szCs w:val="22"/>
        </w:rPr>
        <w:t xml:space="preserve">the </w:t>
      </w:r>
      <w:r w:rsidRPr="00BB2874" w:rsidR="009417A4">
        <w:rPr>
          <w:rFonts w:cs="Arial"/>
          <w:sz w:val="22"/>
          <w:szCs w:val="22"/>
        </w:rPr>
        <w:t>S</w:t>
      </w:r>
      <w:r w:rsidRPr="00BB2874">
        <w:rPr>
          <w:rFonts w:cs="Arial"/>
          <w:sz w:val="22"/>
          <w:szCs w:val="22"/>
        </w:rPr>
        <w:t>cheme,</w:t>
      </w:r>
      <w:r w:rsidRPr="00BB2874" w:rsidR="00503A50">
        <w:rPr>
          <w:rFonts w:cs="Arial"/>
          <w:sz w:val="22"/>
          <w:szCs w:val="22"/>
        </w:rPr>
        <w:t xml:space="preserve"> </w:t>
      </w:r>
      <w:r w:rsidRPr="00BB2874" w:rsidR="009417A4">
        <w:rPr>
          <w:rFonts w:cs="Arial"/>
          <w:sz w:val="22"/>
          <w:szCs w:val="22"/>
        </w:rPr>
        <w:t xml:space="preserve">the </w:t>
      </w:r>
      <w:r w:rsidRPr="00BB2874" w:rsidR="00503A50">
        <w:rPr>
          <w:rFonts w:cs="Arial"/>
          <w:sz w:val="22"/>
          <w:szCs w:val="22"/>
        </w:rPr>
        <w:t>notice of intention</w:t>
      </w:r>
      <w:r w:rsidRPr="00BB2874">
        <w:rPr>
          <w:rFonts w:cs="Arial"/>
          <w:sz w:val="22"/>
          <w:szCs w:val="22"/>
        </w:rPr>
        <w:t xml:space="preserve"> and the </w:t>
      </w:r>
      <w:r w:rsidRPr="00BB2874" w:rsidR="00503A50">
        <w:rPr>
          <w:rFonts w:cs="Arial"/>
          <w:sz w:val="22"/>
          <w:szCs w:val="22"/>
        </w:rPr>
        <w:t>A</w:t>
      </w:r>
      <w:r w:rsidRPr="00BB2874">
        <w:rPr>
          <w:rFonts w:cs="Arial"/>
          <w:sz w:val="22"/>
          <w:szCs w:val="22"/>
        </w:rPr>
        <w:t xml:space="preserve">ctuarial </w:t>
      </w:r>
      <w:r w:rsidRPr="00BB2874" w:rsidR="00503A50">
        <w:rPr>
          <w:rFonts w:cs="Arial"/>
          <w:sz w:val="22"/>
          <w:szCs w:val="22"/>
        </w:rPr>
        <w:t>R</w:t>
      </w:r>
      <w:r w:rsidRPr="00BB2874">
        <w:rPr>
          <w:rFonts w:cs="Arial"/>
          <w:sz w:val="22"/>
          <w:szCs w:val="22"/>
        </w:rPr>
        <w:t xml:space="preserve">eport </w:t>
      </w:r>
      <w:r w:rsidRPr="00BB2874" w:rsidR="00EE518A">
        <w:rPr>
          <w:rFonts w:cs="Arial"/>
          <w:sz w:val="22"/>
          <w:szCs w:val="22"/>
        </w:rPr>
        <w:t>(</w:t>
      </w:r>
      <w:r w:rsidRPr="00BB2874" w:rsidR="00EE518A">
        <w:rPr>
          <w:rFonts w:cs="Arial"/>
          <w:b/>
          <w:sz w:val="22"/>
          <w:szCs w:val="22"/>
        </w:rPr>
        <w:t>Scheme Documents</w:t>
      </w:r>
      <w:r w:rsidRPr="00BB2874" w:rsidR="00EE518A">
        <w:rPr>
          <w:rFonts w:cs="Arial"/>
          <w:sz w:val="22"/>
          <w:szCs w:val="22"/>
        </w:rPr>
        <w:t xml:space="preserve">) </w:t>
      </w:r>
      <w:r w:rsidRPr="00BB2874">
        <w:rPr>
          <w:rFonts w:cs="Arial"/>
          <w:sz w:val="22"/>
          <w:szCs w:val="22"/>
        </w:rPr>
        <w:t>are available</w:t>
      </w:r>
      <w:r w:rsidRPr="00BB2874" w:rsidR="00503A50">
        <w:rPr>
          <w:rFonts w:cs="Arial"/>
          <w:sz w:val="22"/>
          <w:szCs w:val="22"/>
        </w:rPr>
        <w:t xml:space="preserve"> </w:t>
      </w:r>
      <w:r w:rsidRPr="00BB2874" w:rsidR="003C6CE9">
        <w:rPr>
          <w:rFonts w:cs="Arial"/>
          <w:sz w:val="22"/>
          <w:szCs w:val="22"/>
        </w:rPr>
        <w:t xml:space="preserve">free of charge </w:t>
      </w:r>
      <w:r w:rsidRPr="00BB2874" w:rsidR="00503A50">
        <w:rPr>
          <w:rFonts w:cs="Arial"/>
          <w:sz w:val="22"/>
          <w:szCs w:val="22"/>
        </w:rPr>
        <w:t>at</w:t>
      </w:r>
      <w:r w:rsidRPr="00BB2874">
        <w:rPr>
          <w:rFonts w:cs="Arial"/>
          <w:sz w:val="22"/>
          <w:szCs w:val="22"/>
        </w:rPr>
        <w:t xml:space="preserve"> </w:t>
      </w:r>
      <w:r>
        <w:fldChar w:fldCharType="begin"/>
      </w:r>
      <w:r>
        <w:instrText xml:space="preserve"> HYPERLINK "http://www.munichre.com/gla/en/default/index.html" </w:instrText>
      </w:r>
      <w:r>
        <w:fldChar w:fldCharType="separate"/>
      </w:r>
      <w:r w:rsidRPr="00BB2874" w:rsidR="00973BBE">
        <w:rPr>
          <w:rStyle w:val="Hyperlink"/>
          <w:rFonts w:cs="Arial"/>
          <w:sz w:val="22"/>
          <w:szCs w:val="22"/>
          <w:lang w:val="en-GB"/>
        </w:rPr>
        <w:t>www.munichre.com/gla/en/default/index.html</w:t>
      </w:r>
      <w:r>
        <w:fldChar w:fldCharType="end"/>
      </w:r>
      <w:r w:rsidRPr="00BB2874">
        <w:rPr>
          <w:rFonts w:cs="Arial"/>
          <w:sz w:val="22"/>
          <w:szCs w:val="22"/>
        </w:rPr>
        <w:t xml:space="preserve">. </w:t>
      </w:r>
    </w:p>
    <w:p w:rsidR="002B6B8A" w:rsidRPr="002B6B8A" w:rsidP="002B6B8A">
      <w:pPr>
        <w:pStyle w:val="Heading1"/>
        <w:keepNext/>
        <w:rPr>
          <w:rFonts w:cs="Arial"/>
          <w:color w:val="auto"/>
          <w:sz w:val="22"/>
          <w:szCs w:val="22"/>
          <w:shd w:val="clear" w:color="auto" w:fill="auto"/>
        </w:rPr>
      </w:pPr>
      <w:r w:rsidRPr="002B6B8A">
        <w:rPr>
          <w:rFonts w:cs="Arial"/>
          <w:sz w:val="22"/>
          <w:szCs w:val="22"/>
        </w:rPr>
        <w:t>Affected Policyholders may obtain and review the Scheme Documents in any or all of the following ways, free of charge:</w:t>
      </w:r>
    </w:p>
    <w:p w:rsidR="002B6B8A" w:rsidRPr="002B6B8A" w:rsidP="002B6B8A">
      <w:pPr>
        <w:pStyle w:val="Heading3"/>
        <w:rPr>
          <w:rFonts w:cs="Arial"/>
          <w:color w:val="auto"/>
          <w:sz w:val="22"/>
          <w:szCs w:val="22"/>
          <w:shd w:val="clear" w:color="auto" w:fill="auto"/>
        </w:rPr>
      </w:pPr>
      <w:r w:rsidRPr="002B6B8A">
        <w:rPr>
          <w:rFonts w:cs="Arial"/>
          <w:sz w:val="22"/>
          <w:szCs w:val="22"/>
        </w:rPr>
        <w:t xml:space="preserve">View and/or download the documents from </w:t>
      </w:r>
      <w:r w:rsidRPr="002B6B8A">
        <w:rPr>
          <w:rFonts w:cs="Arial"/>
          <w:sz w:val="22"/>
          <w:szCs w:val="22"/>
        </w:rPr>
        <w:t>GLA's</w:t>
      </w:r>
      <w:r w:rsidRPr="002B6B8A">
        <w:rPr>
          <w:rFonts w:cs="Arial"/>
          <w:sz w:val="22"/>
          <w:szCs w:val="22"/>
        </w:rPr>
        <w:t xml:space="preserve"> website: </w:t>
      </w:r>
    </w:p>
    <w:p w:rsidR="002B6B8A" w:rsidRPr="002B6B8A" w:rsidP="002B6B8A">
      <w:pPr>
        <w:pStyle w:val="Heading2"/>
        <w:numPr>
          <w:ilvl w:val="0"/>
          <w:numId w:val="0"/>
        </w:numPr>
        <w:ind w:left="1407" w:firstLine="11"/>
        <w:rPr>
          <w:color w:val="0000FF"/>
          <w:shd w:val="clear" w:color="auto" w:fill="auto"/>
        </w:rPr>
      </w:pPr>
      <w:r>
        <w:fldChar w:fldCharType="begin"/>
      </w:r>
      <w:r>
        <w:instrText xml:space="preserve"> HYPERLINK "http://www.munichre.com/gla/en/default/index.html" </w:instrText>
      </w:r>
      <w:r>
        <w:fldChar w:fldCharType="separate"/>
      </w:r>
      <w:r w:rsidRPr="0051748E">
        <w:rPr>
          <w:rStyle w:val="Hyperlink"/>
          <w:rFonts w:cs="Arial"/>
          <w:sz w:val="22"/>
          <w:szCs w:val="22"/>
        </w:rPr>
        <w:t>www.munichre.com/gla/en/default/index.html</w:t>
      </w:r>
      <w:r>
        <w:fldChar w:fldCharType="end"/>
      </w:r>
    </w:p>
    <w:p w:rsidR="002B6B8A" w:rsidRPr="002B6B8A" w:rsidP="002B6B8A">
      <w:pPr>
        <w:pStyle w:val="Heading1"/>
        <w:keepNext/>
        <w:numPr>
          <w:ilvl w:val="0"/>
          <w:numId w:val="0"/>
        </w:numPr>
        <w:ind w:left="1407"/>
        <w:rPr>
          <w:rFonts w:cs="Arial"/>
          <w:color w:val="auto"/>
          <w:sz w:val="22"/>
          <w:szCs w:val="22"/>
          <w:shd w:val="clear" w:color="auto" w:fill="auto"/>
        </w:rPr>
      </w:pPr>
      <w:r w:rsidRPr="002B6B8A">
        <w:rPr>
          <w:rFonts w:cs="Arial"/>
          <w:sz w:val="22"/>
          <w:szCs w:val="22"/>
        </w:rPr>
        <w:t xml:space="preserve">The documents will be available on </w:t>
      </w:r>
      <w:r w:rsidRPr="002B6B8A">
        <w:rPr>
          <w:rFonts w:cs="Arial"/>
          <w:sz w:val="22"/>
          <w:szCs w:val="22"/>
        </w:rPr>
        <w:t>GLA's</w:t>
      </w:r>
      <w:r w:rsidRPr="002B6B8A">
        <w:rPr>
          <w:rFonts w:cs="Arial"/>
          <w:sz w:val="22"/>
          <w:szCs w:val="22"/>
        </w:rPr>
        <w:t xml:space="preserve"> website </w:t>
      </w:r>
      <w:r w:rsidRPr="002B6B8A">
        <w:rPr>
          <w:rFonts w:cs="Arial"/>
          <w:sz w:val="22"/>
          <w:szCs w:val="22"/>
        </w:rPr>
        <w:t xml:space="preserve">from the </w:t>
      </w:r>
      <w:r w:rsidRPr="002B6B8A">
        <w:rPr>
          <w:rFonts w:cs="Arial"/>
          <w:sz w:val="22"/>
          <w:szCs w:val="22"/>
        </w:rPr>
        <w:t>date of this</w:t>
      </w:r>
      <w:r w:rsidRPr="002B6B8A">
        <w:rPr>
          <w:rFonts w:cs="Arial"/>
          <w:sz w:val="22"/>
          <w:szCs w:val="22"/>
        </w:rPr>
        <w:t xml:space="preserve"> notice until a decision on the Scheme is made by the Court</w:t>
      </w:r>
      <w:r w:rsidRPr="002B6B8A">
        <w:rPr>
          <w:rFonts w:cs="Arial"/>
          <w:sz w:val="22"/>
          <w:szCs w:val="22"/>
        </w:rPr>
        <w:t xml:space="preserve">, </w:t>
      </w:r>
      <w:r w:rsidRPr="002B6B8A">
        <w:rPr>
          <w:rFonts w:cs="Arial"/>
          <w:sz w:val="22"/>
          <w:szCs w:val="22"/>
        </w:rPr>
        <w:t>or the application is withdrawn</w:t>
      </w:r>
      <w:r w:rsidRPr="002B6B8A">
        <w:rPr>
          <w:rFonts w:cs="Arial"/>
          <w:sz w:val="22"/>
          <w:szCs w:val="22"/>
        </w:rPr>
        <w:t>.</w:t>
      </w:r>
    </w:p>
    <w:p w:rsidR="002B6B8A" w:rsidRPr="008245E3" w:rsidP="002B6B8A">
      <w:pPr>
        <w:pStyle w:val="Heading3"/>
        <w:rPr>
          <w:rFonts w:cs="Arial"/>
          <w:color w:val="auto"/>
          <w:sz w:val="22"/>
          <w:szCs w:val="22"/>
          <w:shd w:val="clear" w:color="auto" w:fill="auto"/>
        </w:rPr>
      </w:pPr>
      <w:r w:rsidRPr="008245E3">
        <w:rPr>
          <w:rFonts w:cs="Arial"/>
          <w:sz w:val="22"/>
          <w:szCs w:val="22"/>
        </w:rPr>
        <w:t>You can</w:t>
      </w:r>
      <w:r w:rsidR="006B751A">
        <w:rPr>
          <w:rFonts w:cs="Arial"/>
          <w:sz w:val="22"/>
          <w:szCs w:val="22"/>
        </w:rPr>
        <w:t xml:space="preserve"> also</w:t>
      </w:r>
      <w:r w:rsidRPr="008245E3">
        <w:rPr>
          <w:rFonts w:cs="Arial"/>
          <w:sz w:val="22"/>
          <w:szCs w:val="22"/>
        </w:rPr>
        <w:t xml:space="preserve"> request a </w:t>
      </w:r>
      <w:r w:rsidR="006B751A">
        <w:rPr>
          <w:rFonts w:cs="Arial"/>
          <w:sz w:val="22"/>
          <w:szCs w:val="22"/>
        </w:rPr>
        <w:t xml:space="preserve">physical </w:t>
      </w:r>
      <w:r w:rsidRPr="008245E3">
        <w:rPr>
          <w:rFonts w:cs="Arial"/>
          <w:sz w:val="22"/>
          <w:szCs w:val="22"/>
        </w:rPr>
        <w:t xml:space="preserve">copy of the Scheme Documents by calling </w:t>
      </w:r>
      <w:r w:rsidRPr="008245E3">
        <w:rPr>
          <w:rFonts w:cs="Arial"/>
          <w:sz w:val="22"/>
          <w:szCs w:val="22"/>
        </w:rPr>
        <w:t>GLA</w:t>
      </w:r>
      <w:r w:rsidRPr="008245E3">
        <w:rPr>
          <w:rFonts w:cs="Arial"/>
          <w:sz w:val="22"/>
          <w:szCs w:val="22"/>
        </w:rPr>
        <w:t xml:space="preserve"> on 1300 307 066 during the hours of </w:t>
      </w:r>
      <w:r w:rsidRPr="008245E3">
        <w:rPr>
          <w:rFonts w:cs="Arial"/>
          <w:sz w:val="22"/>
          <w:szCs w:val="22"/>
        </w:rPr>
        <w:t>9:00am</w:t>
      </w:r>
      <w:r w:rsidRPr="008245E3">
        <w:rPr>
          <w:rFonts w:cs="Arial"/>
          <w:sz w:val="22"/>
          <w:szCs w:val="22"/>
        </w:rPr>
        <w:t xml:space="preserve"> to </w:t>
      </w:r>
      <w:r w:rsidR="008B474A">
        <w:rPr>
          <w:rFonts w:cs="Arial"/>
          <w:sz w:val="22"/>
          <w:szCs w:val="22"/>
        </w:rPr>
        <w:t>7</w:t>
      </w:r>
      <w:r w:rsidRPr="008245E3">
        <w:rPr>
          <w:rFonts w:cs="Arial"/>
          <w:sz w:val="22"/>
          <w:szCs w:val="22"/>
        </w:rPr>
        <w:t>:00pm</w:t>
      </w:r>
      <w:r w:rsidR="00A42A6A">
        <w:rPr>
          <w:rFonts w:cs="Arial"/>
          <w:sz w:val="22"/>
          <w:szCs w:val="22"/>
        </w:rPr>
        <w:t xml:space="preserve"> </w:t>
      </w:r>
      <w:r w:rsidR="00A42A6A">
        <w:rPr>
          <w:rFonts w:cs="Arial"/>
          <w:sz w:val="22"/>
          <w:szCs w:val="22"/>
        </w:rPr>
        <w:t>AEST</w:t>
      </w:r>
      <w:r w:rsidRPr="008245E3">
        <w:rPr>
          <w:rFonts w:cs="Arial"/>
          <w:sz w:val="22"/>
          <w:szCs w:val="22"/>
        </w:rPr>
        <w:t xml:space="preserve"> each day (other than weekends and public holidays in the relevant state or territory) from 2</w:t>
      </w:r>
      <w:r w:rsidRPr="008245E3" w:rsidR="008245E3">
        <w:rPr>
          <w:rFonts w:cs="Arial"/>
          <w:sz w:val="22"/>
          <w:szCs w:val="22"/>
        </w:rPr>
        <w:t>8</w:t>
      </w:r>
      <w:r w:rsidRPr="008245E3">
        <w:rPr>
          <w:rFonts w:cs="Arial"/>
          <w:sz w:val="22"/>
          <w:szCs w:val="22"/>
        </w:rPr>
        <w:t xml:space="preserve"> May until 1</w:t>
      </w:r>
      <w:r w:rsidRPr="008245E3" w:rsidR="008245E3">
        <w:rPr>
          <w:rFonts w:cs="Arial"/>
          <w:sz w:val="22"/>
          <w:szCs w:val="22"/>
        </w:rPr>
        <w:t>8</w:t>
      </w:r>
      <w:r w:rsidRPr="008245E3">
        <w:rPr>
          <w:rFonts w:cs="Arial"/>
          <w:sz w:val="22"/>
          <w:szCs w:val="22"/>
        </w:rPr>
        <w:t xml:space="preserve"> June 2020;</w:t>
      </w:r>
    </w:p>
    <w:p w:rsidR="002B6B8A" w:rsidRPr="002B6B8A" w:rsidP="002B6B8A">
      <w:pPr>
        <w:pStyle w:val="Heading3"/>
        <w:rPr>
          <w:rFonts w:cs="Arial"/>
          <w:color w:val="auto"/>
          <w:sz w:val="22"/>
          <w:szCs w:val="22"/>
          <w:shd w:val="clear" w:color="auto" w:fill="auto"/>
        </w:rPr>
      </w:pPr>
      <w:r w:rsidRPr="002B6B8A">
        <w:rPr>
          <w:rFonts w:cs="Arial"/>
          <w:sz w:val="22"/>
          <w:szCs w:val="22"/>
        </w:rPr>
        <w:t xml:space="preserve">You can </w:t>
      </w:r>
      <w:r w:rsidR="00B72C52">
        <w:rPr>
          <w:rFonts w:cs="Arial"/>
          <w:sz w:val="22"/>
          <w:szCs w:val="22"/>
        </w:rPr>
        <w:t xml:space="preserve">also </w:t>
      </w:r>
      <w:r w:rsidRPr="002B6B8A">
        <w:rPr>
          <w:rFonts w:cs="Arial"/>
          <w:sz w:val="22"/>
          <w:szCs w:val="22"/>
        </w:rPr>
        <w:t xml:space="preserve">request a </w:t>
      </w:r>
      <w:r w:rsidR="006B751A">
        <w:rPr>
          <w:rFonts w:cs="Arial"/>
          <w:sz w:val="22"/>
          <w:szCs w:val="22"/>
        </w:rPr>
        <w:t xml:space="preserve">physical </w:t>
      </w:r>
      <w:r w:rsidRPr="002B6B8A">
        <w:rPr>
          <w:rFonts w:cs="Arial"/>
          <w:sz w:val="22"/>
          <w:szCs w:val="22"/>
        </w:rPr>
        <w:t>copy of the Scheme Documents by emailing us at:</w:t>
      </w:r>
    </w:p>
    <w:p w:rsidR="002B6B8A" w:rsidRPr="002B6B8A" w:rsidP="002B6B8A">
      <w:pPr>
        <w:pStyle w:val="Heading2"/>
        <w:numPr>
          <w:ilvl w:val="0"/>
          <w:numId w:val="0"/>
        </w:numPr>
        <w:ind w:left="1407" w:firstLine="11"/>
        <w:rPr>
          <w:color w:val="0000FF"/>
          <w:shd w:val="clear" w:color="auto" w:fill="auto"/>
          <w:lang w:val="en-US"/>
        </w:rPr>
      </w:pPr>
      <w:r>
        <w:fldChar w:fldCharType="begin"/>
      </w:r>
      <w:r>
        <w:instrText xml:space="preserve"> HYPERLINK "mailto:glaportfoliotransfer@munichre.com" </w:instrText>
      </w:r>
      <w:r>
        <w:fldChar w:fldCharType="separate"/>
      </w:r>
      <w:r w:rsidRPr="0051748E">
        <w:rPr>
          <w:rStyle w:val="Hyperlink"/>
          <w:rFonts w:cs="Arial"/>
          <w:bCs/>
          <w:iCs/>
          <w:sz w:val="22"/>
          <w:szCs w:val="22"/>
          <w:lang w:val="en-US"/>
        </w:rPr>
        <w:t>glaportfoliotransfer@munichre.com</w:t>
      </w:r>
      <w:r>
        <w:fldChar w:fldCharType="end"/>
      </w:r>
    </w:p>
    <w:p w:rsidR="002B6B8A" w:rsidRPr="002B6B8A" w:rsidP="002B6B8A">
      <w:pPr>
        <w:pStyle w:val="Heading1"/>
        <w:keepNext/>
        <w:rPr>
          <w:rFonts w:cs="Arial"/>
          <w:color w:val="auto"/>
          <w:sz w:val="22"/>
          <w:szCs w:val="22"/>
          <w:shd w:val="clear" w:color="auto" w:fill="auto"/>
        </w:rPr>
      </w:pPr>
      <w:bookmarkStart w:id="4" w:name="_Hlk39245398"/>
      <w:bookmarkEnd w:id="2"/>
      <w:r w:rsidRPr="002B6B8A">
        <w:rPr>
          <w:rFonts w:cs="Arial"/>
          <w:sz w:val="22"/>
          <w:szCs w:val="22"/>
        </w:rPr>
        <w:t>If an Affected Policyholder has any questions in relation to the Scheme</w:t>
      </w:r>
      <w:r w:rsidR="00A42A6A">
        <w:rPr>
          <w:rFonts w:cs="Arial"/>
          <w:sz w:val="22"/>
          <w:szCs w:val="22"/>
        </w:rPr>
        <w:t xml:space="preserve">, </w:t>
      </w:r>
      <w:r w:rsidR="003E69BA">
        <w:rPr>
          <w:rFonts w:cs="Arial"/>
          <w:sz w:val="22"/>
          <w:szCs w:val="22"/>
        </w:rPr>
        <w:t xml:space="preserve">including </w:t>
      </w:r>
      <w:r w:rsidR="00A42A6A">
        <w:rPr>
          <w:rFonts w:cs="Arial"/>
          <w:sz w:val="22"/>
          <w:szCs w:val="22"/>
        </w:rPr>
        <w:t xml:space="preserve">the Court process, your right to appear, </w:t>
      </w:r>
      <w:r w:rsidR="003E69BA">
        <w:rPr>
          <w:rFonts w:cs="Arial"/>
          <w:sz w:val="22"/>
          <w:szCs w:val="22"/>
        </w:rPr>
        <w:t xml:space="preserve">the Scheme Documents, </w:t>
      </w:r>
      <w:r w:rsidRPr="002B6B8A">
        <w:rPr>
          <w:rFonts w:cs="Arial"/>
          <w:sz w:val="22"/>
          <w:szCs w:val="22"/>
        </w:rPr>
        <w:t xml:space="preserve">or any of the information contained in this notice, please contact </w:t>
      </w:r>
      <w:r w:rsidRPr="002B6B8A">
        <w:rPr>
          <w:rFonts w:cs="Arial"/>
          <w:sz w:val="22"/>
          <w:szCs w:val="22"/>
        </w:rPr>
        <w:t>GLA</w:t>
      </w:r>
      <w:r w:rsidRPr="002B6B8A">
        <w:rPr>
          <w:rFonts w:cs="Arial"/>
          <w:sz w:val="22"/>
          <w:szCs w:val="22"/>
        </w:rPr>
        <w:t xml:space="preserve"> at any time:</w:t>
      </w:r>
    </w:p>
    <w:p w:rsidR="002B6B8A" w:rsidRPr="002B6B8A" w:rsidP="002B6B8A">
      <w:pPr>
        <w:pStyle w:val="Heading1"/>
        <w:keepNext/>
        <w:numPr>
          <w:ilvl w:val="0"/>
          <w:numId w:val="0"/>
        </w:numPr>
        <w:ind w:left="709"/>
        <w:rPr>
          <w:rFonts w:cs="Arial"/>
          <w:b/>
          <w:bCs/>
          <w:i/>
          <w:iCs/>
          <w:color w:val="0000FF"/>
          <w:sz w:val="22"/>
          <w:szCs w:val="22"/>
          <w:u w:val="single"/>
          <w:shd w:val="clear" w:color="auto" w:fill="auto"/>
          <w:lang w:val="en-US"/>
        </w:rPr>
      </w:pPr>
      <w:r w:rsidRPr="002B6B8A">
        <w:rPr>
          <w:rFonts w:cs="Arial"/>
          <w:b/>
          <w:sz w:val="22"/>
          <w:szCs w:val="22"/>
        </w:rPr>
        <w:t>By email at:</w:t>
      </w:r>
      <w:r w:rsidRPr="002B6B8A">
        <w:rPr>
          <w:rFonts w:cs="Arial"/>
          <w:sz w:val="22"/>
          <w:szCs w:val="22"/>
        </w:rPr>
        <w:t xml:space="preserve"> </w:t>
      </w:r>
      <w:r>
        <w:fldChar w:fldCharType="begin"/>
      </w:r>
      <w:r>
        <w:instrText xml:space="preserve"> HYPERLINK "mailto:GLAPORTFOLIOTRANSFER@MUNICHRE.COM" </w:instrText>
      </w:r>
      <w:r>
        <w:fldChar w:fldCharType="separate"/>
      </w:r>
      <w:r w:rsidRPr="002B6B8A">
        <w:rPr>
          <w:rStyle w:val="Hyperlink"/>
          <w:rFonts w:cs="Arial"/>
          <w:bCs/>
          <w:iCs/>
          <w:sz w:val="22"/>
          <w:szCs w:val="22"/>
          <w:lang w:val="en-US"/>
        </w:rPr>
        <w:t>glaportfoliotransfer@munichre.com</w:t>
      </w:r>
      <w:r>
        <w:fldChar w:fldCharType="end"/>
      </w:r>
    </w:p>
    <w:p w:rsidR="002B6B8A" w:rsidRPr="002B6B8A" w:rsidP="002B6B8A">
      <w:pPr>
        <w:pStyle w:val="Heading1"/>
        <w:keepNext/>
        <w:numPr>
          <w:ilvl w:val="0"/>
          <w:numId w:val="0"/>
        </w:numPr>
        <w:ind w:left="709"/>
        <w:rPr>
          <w:rFonts w:cs="Arial"/>
          <w:color w:val="auto"/>
          <w:sz w:val="22"/>
          <w:szCs w:val="22"/>
          <w:shd w:val="clear" w:color="auto" w:fill="auto"/>
        </w:rPr>
      </w:pPr>
      <w:r w:rsidRPr="002B6B8A">
        <w:rPr>
          <w:rFonts w:cs="Arial"/>
          <w:b/>
          <w:sz w:val="22"/>
          <w:szCs w:val="22"/>
          <w:lang w:val="en-GB"/>
        </w:rPr>
        <w:t>By post at:</w:t>
      </w:r>
      <w:r w:rsidRPr="002B6B8A">
        <w:rPr>
          <w:rFonts w:cs="Arial"/>
          <w:sz w:val="22"/>
          <w:szCs w:val="22"/>
          <w:lang w:val="en-GB"/>
        </w:rPr>
        <w:t xml:space="preserve"> </w:t>
      </w:r>
      <w:r w:rsidRPr="002B6B8A">
        <w:rPr>
          <w:rFonts w:cs="Arial"/>
          <w:sz w:val="22"/>
          <w:szCs w:val="22"/>
        </w:rPr>
        <w:t xml:space="preserve">Attention: </w:t>
      </w:r>
      <w:r w:rsidRPr="002B6B8A">
        <w:rPr>
          <w:rFonts w:cs="Arial"/>
          <w:sz w:val="22"/>
          <w:szCs w:val="22"/>
          <w:lang w:val="en-GB"/>
        </w:rPr>
        <w:t xml:space="preserve">Shalaj Aggarwal, Great Lakes Australia, </w:t>
      </w:r>
      <w:r w:rsidRPr="002B6B8A">
        <w:rPr>
          <w:rFonts w:cs="Arial"/>
          <w:sz w:val="22"/>
          <w:szCs w:val="22"/>
        </w:rPr>
        <w:t xml:space="preserve">PO Box </w:t>
      </w:r>
      <w:r w:rsidRPr="002B6B8A">
        <w:rPr>
          <w:rFonts w:cs="Arial"/>
          <w:sz w:val="22"/>
          <w:szCs w:val="22"/>
        </w:rPr>
        <w:t>H35</w:t>
      </w:r>
      <w:r w:rsidRPr="002B6B8A">
        <w:rPr>
          <w:rFonts w:cs="Arial"/>
          <w:sz w:val="22"/>
          <w:szCs w:val="22"/>
        </w:rPr>
        <w:t>, Australia Square, New South Wales 1215</w:t>
      </w:r>
    </w:p>
    <w:p w:rsidR="003F544C" w:rsidP="003F544C">
      <w:pPr>
        <w:pStyle w:val="Heading1"/>
        <w:keepNext/>
        <w:numPr>
          <w:ilvl w:val="0"/>
          <w:numId w:val="0"/>
        </w:numPr>
        <w:ind w:left="709"/>
        <w:rPr>
          <w:rFonts w:cs="Arial"/>
          <w:color w:val="auto"/>
          <w:sz w:val="22"/>
          <w:szCs w:val="22"/>
          <w:shd w:val="clear" w:color="auto" w:fill="auto"/>
        </w:rPr>
      </w:pPr>
      <w:r w:rsidRPr="002B6B8A">
        <w:rPr>
          <w:rFonts w:cs="Arial"/>
          <w:b/>
          <w:sz w:val="22"/>
          <w:szCs w:val="22"/>
        </w:rPr>
        <w:t>By telephoning:</w:t>
      </w:r>
      <w:r w:rsidRPr="002B6B8A">
        <w:rPr>
          <w:rFonts w:cs="Arial"/>
          <w:sz w:val="22"/>
          <w:szCs w:val="22"/>
        </w:rPr>
        <w:t xml:space="preserve"> the </w:t>
      </w:r>
      <w:r w:rsidRPr="002B6B8A">
        <w:rPr>
          <w:rFonts w:cs="Arial"/>
          <w:sz w:val="22"/>
          <w:szCs w:val="22"/>
        </w:rPr>
        <w:t>GLA</w:t>
      </w:r>
      <w:r w:rsidRPr="002B6B8A">
        <w:rPr>
          <w:rFonts w:cs="Arial"/>
          <w:sz w:val="22"/>
          <w:szCs w:val="22"/>
        </w:rPr>
        <w:t xml:space="preserve"> Run off portfolio transfer division at Munich Re Australia on </w:t>
      </w:r>
      <w:r w:rsidRPr="002B6B8A">
        <w:rPr>
          <w:rFonts w:cs="Arial"/>
          <w:bCs/>
          <w:sz w:val="22"/>
          <w:szCs w:val="22"/>
        </w:rPr>
        <w:t>1300 307 066 (toll-free Australia)</w:t>
      </w:r>
      <w:bookmarkStart w:id="5" w:name="_Hlk39249862"/>
      <w:bookmarkEnd w:id="3"/>
    </w:p>
    <w:p w:rsidR="002B6B8A" w:rsidP="003F544C">
      <w:pPr>
        <w:pStyle w:val="Heading1"/>
        <w:keepNext/>
        <w:numPr>
          <w:ilvl w:val="0"/>
          <w:numId w:val="0"/>
        </w:numPr>
        <w:ind w:left="709"/>
        <w:rPr>
          <w:rFonts w:cs="Arial"/>
          <w:color w:val="auto"/>
          <w:sz w:val="22"/>
          <w:szCs w:val="22"/>
          <w:shd w:val="clear" w:color="auto" w:fill="auto"/>
        </w:rPr>
      </w:pPr>
      <w:bookmarkStart w:id="6" w:name="_GoBack"/>
      <w:bookmarkEnd w:id="6"/>
      <w:r>
        <w:rPr>
          <w:rFonts w:cs="Arial"/>
          <w:sz w:val="22"/>
          <w:szCs w:val="22"/>
        </w:rPr>
        <w:t>GLA</w:t>
      </w:r>
      <w:r>
        <w:rPr>
          <w:rFonts w:cs="Arial"/>
          <w:sz w:val="22"/>
          <w:szCs w:val="22"/>
        </w:rPr>
        <w:t xml:space="preserve"> will endeavour to </w:t>
      </w:r>
      <w:r w:rsidR="000662A8">
        <w:rPr>
          <w:rFonts w:cs="Arial"/>
          <w:sz w:val="22"/>
          <w:szCs w:val="22"/>
        </w:rPr>
        <w:t>respond to your query</w:t>
      </w:r>
      <w:r>
        <w:rPr>
          <w:rFonts w:cs="Arial"/>
          <w:sz w:val="22"/>
          <w:szCs w:val="22"/>
        </w:rPr>
        <w:t xml:space="preserve"> the following business day</w:t>
      </w:r>
      <w:r w:rsidR="00AC3921">
        <w:rPr>
          <w:rFonts w:cs="Arial"/>
          <w:sz w:val="22"/>
          <w:szCs w:val="22"/>
        </w:rPr>
        <w:t xml:space="preserve"> after</w:t>
      </w:r>
      <w:r>
        <w:rPr>
          <w:rFonts w:cs="Arial"/>
          <w:sz w:val="22"/>
          <w:szCs w:val="22"/>
        </w:rPr>
        <w:t xml:space="preserve"> </w:t>
      </w:r>
      <w:r w:rsidR="00CF1C26">
        <w:rPr>
          <w:rFonts w:cs="Arial"/>
          <w:sz w:val="22"/>
          <w:szCs w:val="22"/>
        </w:rPr>
        <w:t>it</w:t>
      </w:r>
      <w:r>
        <w:rPr>
          <w:rFonts w:cs="Arial"/>
          <w:sz w:val="22"/>
          <w:szCs w:val="22"/>
        </w:rPr>
        <w:t xml:space="preserve"> is received by us.  </w:t>
      </w:r>
    </w:p>
    <w:p w:rsidR="00180C07" w:rsidP="00180C07">
      <w:pPr>
        <w:pStyle w:val="Heading1"/>
        <w:keepNext/>
        <w:numPr>
          <w:ilvl w:val="0"/>
          <w:numId w:val="0"/>
        </w:numPr>
        <w:rPr>
          <w:rFonts w:cs="Arial"/>
          <w:color w:val="auto"/>
          <w:sz w:val="22"/>
          <w:szCs w:val="22"/>
          <w:shd w:val="clear" w:color="auto" w:fill="auto"/>
        </w:rPr>
      </w:pPr>
    </w:p>
    <w:p w:rsidR="008970DE" w:rsidRPr="00BB2874">
      <w:pPr>
        <w:autoSpaceDE w:val="0"/>
        <w:autoSpaceDN w:val="0"/>
        <w:adjustRightInd w:val="0"/>
        <w:jc w:val="center"/>
        <w:rPr>
          <w:rFonts w:cs="Arial"/>
          <w:color w:val="auto"/>
          <w:sz w:val="22"/>
          <w:szCs w:val="22"/>
          <w:shd w:val="clear" w:color="auto" w:fill="auto"/>
        </w:rPr>
      </w:pPr>
      <w:bookmarkEnd w:id="4"/>
      <w:bookmarkEnd w:id="5"/>
      <w:r w:rsidRPr="00BB2874">
        <w:rPr>
          <w:rFonts w:cs="Arial"/>
          <w:sz w:val="22"/>
          <w:szCs w:val="22"/>
        </w:rPr>
        <w:t>THIS SUMMARY HAS BEEN APPROVED, AS A SUMMARY OF THE SCHEME, BY THE AUSTRALIAN PRUDENTIAL REGULATION AUTHORITY.</w:t>
      </w:r>
    </w:p>
    <w:sectPr>
      <w:headerReference w:type="even" r:id="rId4"/>
      <w:headerReference w:type="default" r:id="rId5"/>
      <w:footerReference w:type="even" r:id="rId6"/>
      <w:footerReference w:type="default" r:id="rId7"/>
      <w:headerReference w:type="first" r:id="rId8"/>
      <w:footerReference w:type="first" r:id="rId9"/>
      <w:pgSz w:w="11907" w:h="16840" w:code="9"/>
      <w:pgMar w:top="1985" w:right="1418" w:bottom="1134" w:left="1701" w:header="680" w:footer="425" w:gutter="0"/>
      <w:paperSrc w:first="15" w:other="15"/>
      <w:pgNumType w:start="1"/>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Bold">
    <w:altName w:val="Arial"/>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7003">
    <w:pPr>
      <w:pStyle w:val="Footer"/>
      <w:framePr w:wrap="around" w:vAnchor="text" w:hAnchor="margin" w:xAlign="center" w:y="1"/>
      <w:rPr>
        <w:rStyle w:val="PageNumber"/>
        <w:color w:val="auto"/>
        <w:shd w:val="clear" w:color="auto" w:fill="auto"/>
      </w:rPr>
    </w:pPr>
    <w:r>
      <w:rPr>
        <w:rStyle w:val="PageNumber"/>
      </w:rPr>
      <w:fldChar w:fldCharType="begin"/>
    </w:r>
    <w:r>
      <w:rPr>
        <w:rStyle w:val="PageNumber"/>
      </w:rPr>
      <w:instrText xml:space="preserve">PAGE  </w:instrText>
    </w:r>
    <w:r>
      <w:rPr>
        <w:rStyle w:val="PageNumber"/>
      </w:rPr>
      <w:fldChar w:fldCharType="separate"/>
    </w:r>
    <w:r w:rsidR="00BB2874">
      <w:rPr>
        <w:rStyle w:val="PageNumber"/>
        <w:noProof/>
      </w:rPr>
      <w:t>3</w:t>
    </w:r>
    <w:r>
      <w:rPr>
        <w:rStyle w:val="PageNumber"/>
      </w:rPr>
      <w:fldChar w:fldCharType="end"/>
    </w:r>
  </w:p>
  <w:p w:rsidR="00C57003">
    <w:pPr>
      <w:pStyle w:val="Footer"/>
      <w:rPr>
        <w:color w:val="auto"/>
        <w:shd w:val="clear" w:color="auto" w:fil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57003" w:rsidRPr="00C40C41">
    <w:pPr>
      <w:pStyle w:val="Footer"/>
      <w:framePr w:wrap="around" w:vAnchor="text" w:hAnchor="margin" w:xAlign="center" w:y="1"/>
      <w:rPr>
        <w:rStyle w:val="PageNumber"/>
        <w:rFonts w:ascii="Verdana" w:hAnsi="Verdana"/>
        <w:color w:val="auto"/>
        <w:shd w:val="clear" w:color="auto" w:fill="auto"/>
      </w:rPr>
    </w:pPr>
    <w:r w:rsidRPr="00C40C41">
      <w:rPr>
        <w:rStyle w:val="PageNumber"/>
        <w:rFonts w:ascii="Verdana" w:hAnsi="Verdana"/>
      </w:rPr>
      <w:fldChar w:fldCharType="begin"/>
    </w:r>
    <w:r w:rsidRPr="00C40C41">
      <w:rPr>
        <w:rStyle w:val="PageNumber"/>
        <w:rFonts w:ascii="Verdana" w:hAnsi="Verdana"/>
      </w:rPr>
      <w:instrText xml:space="preserve">PAGE  </w:instrText>
    </w:r>
    <w:r w:rsidRPr="00C40C41">
      <w:rPr>
        <w:rStyle w:val="PageNumber"/>
        <w:rFonts w:ascii="Verdana" w:hAnsi="Verdana"/>
      </w:rPr>
      <w:fldChar w:fldCharType="separate"/>
    </w:r>
    <w:r w:rsidR="00BB2874">
      <w:rPr>
        <w:rStyle w:val="PageNumber"/>
        <w:rFonts w:ascii="Verdana" w:hAnsi="Verdana"/>
        <w:noProof/>
      </w:rPr>
      <w:t>2</w:t>
    </w:r>
    <w:r w:rsidRPr="00C40C41">
      <w:rPr>
        <w:rStyle w:val="PageNumber"/>
        <w:rFonts w:ascii="Verdana" w:hAnsi="Verdana"/>
      </w:rPr>
      <w:fldChar w:fldCharType="end"/>
    </w:r>
  </w:p>
  <w:tbl>
    <w:tblPr>
      <w:tblW w:w="0" w:type="auto"/>
      <w:tblLook w:val="04A0"/>
    </w:tblPr>
    <w:tblGrid>
      <w:gridCol w:w="3000"/>
      <w:gridCol w:w="3002"/>
      <w:gridCol w:w="3002"/>
    </w:tblGrid>
    <w:tr>
      <w:tblPrEx>
        <w:tblW w:w="0" w:type="auto"/>
        <w:tblLook w:val="04A0"/>
      </w:tblPrEx>
      <w:tc>
        <w:tcPr>
          <w:tcW w:w="3284" w:type="dxa"/>
          <w:shd w:val="clear" w:color="auto" w:fill="auto"/>
        </w:tcPr>
        <w:p w:rsidR="00C57003">
          <w:pPr>
            <w:pStyle w:val="Footer"/>
            <w:rPr>
              <w:color w:val="auto"/>
              <w:sz w:val="13"/>
              <w:szCs w:val="13"/>
              <w:shd w:val="clear" w:color="auto" w:fill="auto"/>
            </w:rPr>
          </w:pPr>
        </w:p>
      </w:tc>
      <w:tc>
        <w:tcPr>
          <w:tcW w:w="3285" w:type="dxa"/>
          <w:shd w:val="clear" w:color="auto" w:fill="auto"/>
        </w:tcPr>
        <w:p w:rsidR="00C57003">
          <w:pPr>
            <w:pStyle w:val="Footer"/>
            <w:jc w:val="center"/>
            <w:rPr>
              <w:color w:val="auto"/>
              <w:sz w:val="13"/>
              <w:szCs w:val="13"/>
              <w:shd w:val="clear" w:color="auto" w:fill="auto"/>
            </w:rPr>
          </w:pPr>
        </w:p>
      </w:tc>
      <w:tc>
        <w:tcPr>
          <w:tcW w:w="3285" w:type="dxa"/>
          <w:shd w:val="clear" w:color="auto" w:fill="auto"/>
        </w:tcPr>
        <w:p w:rsidR="00C57003">
          <w:pPr>
            <w:pStyle w:val="Footer"/>
            <w:jc w:val="right"/>
            <w:rPr>
              <w:color w:val="auto"/>
              <w:szCs w:val="16"/>
              <w:shd w:val="clear" w:color="auto" w:fill="auto"/>
            </w:rPr>
          </w:pPr>
        </w:p>
      </w:tc>
    </w:tr>
  </w:tbl>
  <w:p w:rsidR="00C57003">
    <w:pPr>
      <w:pStyle w:val="Footer"/>
      <w:rPr>
        <w:color w:val="auto"/>
        <w:shd w:val="clear" w:color="auto" w:fill="auto"/>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0" w:type="auto"/>
      <w:tblLook w:val="04A0"/>
    </w:tblPr>
    <w:tblGrid>
      <w:gridCol w:w="3033"/>
      <w:gridCol w:w="2952"/>
      <w:gridCol w:w="3019"/>
    </w:tblGrid>
    <w:tr>
      <w:tblPrEx>
        <w:tblW w:w="0" w:type="auto"/>
        <w:tblLook w:val="04A0"/>
      </w:tblPrEx>
      <w:tc>
        <w:tcPr>
          <w:tcW w:w="3284" w:type="dxa"/>
          <w:shd w:val="clear" w:color="auto" w:fill="auto"/>
        </w:tcPr>
        <w:p w:rsidR="00C57003">
          <w:pPr>
            <w:pStyle w:val="Footer"/>
            <w:rPr>
              <w:color w:val="auto"/>
              <w:shd w:val="clear" w:color="auto" w:fill="auto"/>
            </w:rPr>
          </w:pPr>
          <w:r>
            <w:fldChar w:fldCharType="begin"/>
          </w:r>
          <w:r>
            <w:instrText xml:space="preserve"> DOCPROPERTY DocumentDatabase  \* MERGEFORMAT</w:instrText>
          </w:r>
          <w:r>
            <w:fldChar w:fldCharType="separate"/>
          </w:r>
          <w:r w:rsidR="00BB2874">
            <w:rPr>
              <w:b/>
              <w:bCs/>
              <w:lang w:val="en-US"/>
            </w:rPr>
            <w:t>Error! Unknown document property name.</w:t>
          </w:r>
          <w:r>
            <w:fldChar w:fldCharType="end"/>
          </w:r>
          <w:r>
            <w:t>-#</w:t>
          </w:r>
          <w:r>
            <w:fldChar w:fldCharType="begin"/>
          </w:r>
          <w:r>
            <w:instrText xml:space="preserve"> DOCPROPERTY DocumentNumber  \* MERGEFORMAT</w:instrText>
          </w:r>
          <w:r>
            <w:fldChar w:fldCharType="separate"/>
          </w:r>
          <w:r w:rsidR="00BB2874">
            <w:rPr>
              <w:b/>
              <w:bCs/>
              <w:lang w:val="en-US"/>
            </w:rPr>
            <w:t>Error! Unknown document property name.</w:t>
          </w:r>
          <w:r>
            <w:fldChar w:fldCharType="end"/>
          </w:r>
          <w:r>
            <w:t>-v</w:t>
          </w:r>
          <w:r>
            <w:fldChar w:fldCharType="begin"/>
          </w:r>
          <w:r>
            <w:instrText xml:space="preserve"> DOCPROPERTY DocumentVersion  \* MERGEFORMAT</w:instrText>
          </w:r>
          <w:r>
            <w:fldChar w:fldCharType="separate"/>
          </w:r>
          <w:r w:rsidR="00BB2874">
            <w:rPr>
              <w:b/>
              <w:bCs/>
              <w:lang w:val="en-US"/>
            </w:rPr>
            <w:t>Error! Unknown document property name.</w:t>
          </w:r>
          <w:r>
            <w:fldChar w:fldCharType="end"/>
          </w:r>
        </w:p>
      </w:tc>
      <w:tc>
        <w:tcPr>
          <w:tcW w:w="3285" w:type="dxa"/>
          <w:shd w:val="clear" w:color="auto" w:fill="auto"/>
        </w:tcPr>
        <w:p w:rsidR="00C57003">
          <w:pPr>
            <w:pStyle w:val="Footer"/>
            <w:rPr>
              <w:color w:val="auto"/>
              <w:shd w:val="clear" w:color="auto" w:fill="auto"/>
            </w:rPr>
          </w:pPr>
        </w:p>
      </w:tc>
      <w:tc>
        <w:tcPr>
          <w:tcW w:w="3285" w:type="dxa"/>
          <w:shd w:val="clear" w:color="auto" w:fill="auto"/>
        </w:tcPr>
        <w:p w:rsidR="00C57003">
          <w:pPr>
            <w:pStyle w:val="Footer"/>
            <w:jc w:val="right"/>
            <w:rPr>
              <w:color w:val="auto"/>
              <w:shd w:val="clear" w:color="auto" w:fill="auto"/>
            </w:rPr>
          </w:pPr>
          <w:r>
            <w:t>© Norton Rose Fulbright Australia</w:t>
          </w:r>
        </w:p>
      </w:tc>
    </w:tr>
  </w:tbl>
  <w:p w:rsidR="00C57003">
    <w:pPr>
      <w:pStyle w:val="Footer"/>
      <w:rPr>
        <w:color w:val="auto"/>
        <w:shd w:val="clear" w:color="auto" w:fill="auto"/>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74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74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474A">
    <w:pPr>
      <w:pStyle w:val="Header"/>
      <w:rPr>
        <w:color w:val="auto"/>
        <w:shd w:val="clear" w:color="auto" w:fil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9F08549E"/>
    <w:multiLevelType w:val="hybridMultilevel"/>
    <w:tmpl w:val="20B4B397"/>
    <w:lvl w:ilvl="0">
      <w:start w:val="1"/>
      <w:numFmt w:val="ideographDigital"/>
      <w:lvlJc w:val="left"/>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047B1E7A"/>
    <w:multiLevelType w:val="multilevel"/>
    <w:tmpl w:val="D36A47AA"/>
    <w:lvl w:ilvl="0">
      <w:start w:val="1"/>
      <w:numFmt w:val="decimal"/>
      <w:pStyle w:val="BilingualScheduleNumbering1"/>
      <w:lvlText w:val="%1"/>
      <w:lvlJc w:val="left"/>
      <w:pPr>
        <w:ind w:left="709" w:hanging="709"/>
      </w:pPr>
      <w:rPr>
        <w:rFonts w:ascii="Arial Bold" w:hAnsi="Arial Bold" w:hint="default"/>
        <w:b/>
        <w:i w:val="0"/>
        <w:sz w:val="20"/>
      </w:rPr>
    </w:lvl>
    <w:lvl w:ilvl="1">
      <w:start w:val="1"/>
      <w:numFmt w:val="decimal"/>
      <w:pStyle w:val="BilingualScheduleNumbering2"/>
      <w:lvlText w:val="%1.%2"/>
      <w:lvlJc w:val="left"/>
      <w:pPr>
        <w:ind w:left="709" w:hanging="709"/>
      </w:pPr>
      <w:rPr>
        <w:rFonts w:ascii="Arial" w:hAnsi="Arial" w:hint="default"/>
        <w:b w:val="0"/>
        <w:i w:val="0"/>
        <w:sz w:val="20"/>
      </w:rPr>
    </w:lvl>
    <w:lvl w:ilvl="2">
      <w:start w:val="1"/>
      <w:numFmt w:val="decimal"/>
      <w:pStyle w:val="BilingualScheduleNumbering3"/>
      <w:lvlText w:val="(%3)"/>
      <w:lvlJc w:val="right"/>
      <w:pPr>
        <w:ind w:left="1418" w:hanging="709"/>
      </w:pPr>
      <w:rPr>
        <w:rFonts w:hint="default"/>
      </w:rPr>
    </w:lvl>
    <w:lvl w:ilvl="3">
      <w:start w:val="1"/>
      <w:numFmt w:val="lowerLetter"/>
      <w:pStyle w:val="BilingualScheduleNumbering4"/>
      <w:lvlText w:val="(%4)"/>
      <w:lvlJc w:val="left"/>
      <w:pPr>
        <w:ind w:left="2126" w:hanging="708"/>
      </w:pPr>
      <w:rPr>
        <w:rFonts w:hint="default"/>
      </w:rPr>
    </w:lvl>
    <w:lvl w:ilvl="4">
      <w:start w:val="1"/>
      <w:numFmt w:val="lowerRoman"/>
      <w:pStyle w:val="BilingualScheduleNumbering5"/>
      <w:lvlText w:val="(%5)"/>
      <w:lvlJc w:val="left"/>
      <w:pPr>
        <w:ind w:left="2835" w:hanging="709"/>
      </w:pPr>
      <w:rPr>
        <w:rFonts w:hint="default"/>
      </w:rPr>
    </w:lvl>
    <w:lvl w:ilvl="5">
      <w:start w:val="1"/>
      <w:numFmt w:val="none"/>
      <w:lvlRestart w:val="0"/>
      <w:suff w:val="nothing"/>
      <w:lvlJc w:val="left"/>
      <w:pPr>
        <w:ind w:left="0" w:firstLine="0"/>
      </w:pPr>
      <w:rPr>
        <w:rFonts w:hint="default"/>
      </w:rPr>
    </w:lvl>
    <w:lvl w:ilvl="6">
      <w:start w:val="1"/>
      <w:numFmt w:val="none"/>
      <w:lvlRestart w:val="0"/>
      <w:suff w:val="nothing"/>
      <w:lvlJc w:val="left"/>
      <w:pPr>
        <w:ind w:left="0" w:firstLine="0"/>
      </w:pPr>
      <w:rPr>
        <w:rFonts w:hint="default"/>
      </w:rPr>
    </w:lvl>
    <w:lvl w:ilvl="7">
      <w:start w:val="1"/>
      <w:numFmt w:val="none"/>
      <w:lvlRestart w:val="0"/>
      <w:suff w:val="nothing"/>
      <w:lvlJc w:val="left"/>
      <w:pPr>
        <w:ind w:left="-32767" w:firstLine="0"/>
      </w:pPr>
      <w:rPr>
        <w:rFonts w:hint="default"/>
      </w:rPr>
    </w:lvl>
    <w:lvl w:ilvl="8">
      <w:start w:val="1"/>
      <w:numFmt w:val="none"/>
      <w:lvlRestart w:val="0"/>
      <w:suff w:val="nothing"/>
      <w:lvlJc w:val="left"/>
      <w:pPr>
        <w:ind w:left="-32767" w:firstLine="0"/>
      </w:pPr>
      <w:rPr>
        <w:rFonts w:hint="default"/>
      </w:rPr>
    </w:lvl>
  </w:abstractNum>
  <w:abstractNum w:abstractNumId="2">
    <w:nsid w:val="073A5B0F"/>
    <w:multiLevelType w:val="multilevel"/>
    <w:tmpl w:val="2668CE80"/>
    <w:lvl w:ilvl="0">
      <w:start w:val="1"/>
      <w:numFmt w:val="decimal"/>
      <w:pStyle w:val="Heading1"/>
      <w:lvlText w:val="%1"/>
      <w:lvlJc w:val="left"/>
      <w:pPr>
        <w:tabs>
          <w:tab w:val="num" w:pos="709"/>
        </w:tabs>
        <w:ind w:left="709" w:hanging="709"/>
      </w:pPr>
      <w:rPr>
        <w:rFonts w:hint="default"/>
        <w:b w:val="0"/>
        <w:i w:val="0"/>
        <w:sz w:val="18"/>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418"/>
        </w:tabs>
        <w:ind w:left="1418" w:hanging="709"/>
      </w:pPr>
      <w:rPr>
        <w:rFonts w:ascii="Arial" w:hAnsi="Arial" w:cs="Arial" w:hint="default"/>
        <w:b w:val="0"/>
        <w:i w:val="0"/>
        <w:sz w:val="18"/>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lvlRestart w:val="0"/>
      <w:suff w:val="nothing"/>
      <w:lvlJc w:val="left"/>
      <w:pPr>
        <w:ind w:left="0" w:firstLine="0"/>
      </w:pPr>
      <w:rPr>
        <w:rFonts w:hint="default"/>
      </w:rPr>
    </w:lvl>
    <w:lvl w:ilvl="7">
      <w:start w:val="1"/>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3">
    <w:nsid w:val="10AB1BF1"/>
    <w:multiLevelType w:val="hybridMultilevel"/>
    <w:tmpl w:val="2C4A7028"/>
    <w:lvl w:ilvl="0">
      <w:start w:val="1"/>
      <w:numFmt w:val="decimal"/>
      <w:pStyle w:val="BilingualSchedule"/>
      <w:lvlText w:val="Schedule %1"/>
      <w:lvlJc w:val="left"/>
      <w:pPr>
        <w:ind w:left="720" w:hanging="360"/>
      </w:pPr>
      <w:rPr>
        <w:rFonts w:ascii="Arial Bold" w:hAnsi="Arial Bold" w:hint="default"/>
        <w:b/>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BEF6324"/>
    <w:multiLevelType w:val="multilevel"/>
    <w:tmpl w:val="408E0846"/>
    <w:lvl w:ilvl="0">
      <w:start w:val="1"/>
      <w:numFmt w:val="decimal"/>
      <w:pStyle w:val="ScheduleNumbering1"/>
      <w:lvlText w:val="%1"/>
      <w:lvlJc w:val="left"/>
      <w:pPr>
        <w:ind w:left="709" w:hanging="709"/>
      </w:pPr>
      <w:rPr>
        <w:rFonts w:ascii="Arial Bold" w:hAnsi="Arial Bold" w:hint="default"/>
        <w:b/>
        <w:i w:val="0"/>
        <w:sz w:val="20"/>
      </w:rPr>
    </w:lvl>
    <w:lvl w:ilvl="1">
      <w:start w:val="1"/>
      <w:numFmt w:val="decimal"/>
      <w:pStyle w:val="ScheduleNumbering2"/>
      <w:lvlText w:val="%1.%2"/>
      <w:lvlJc w:val="left"/>
      <w:pPr>
        <w:ind w:left="709" w:hanging="709"/>
      </w:pPr>
      <w:rPr>
        <w:rFonts w:hint="default"/>
      </w:rPr>
    </w:lvl>
    <w:lvl w:ilvl="2">
      <w:start w:val="1"/>
      <w:numFmt w:val="decimal"/>
      <w:pStyle w:val="ScheduleNumbering3"/>
      <w:lvlText w:val="(%3)"/>
      <w:lvlJc w:val="left"/>
      <w:pPr>
        <w:ind w:left="1418" w:hanging="709"/>
      </w:pPr>
      <w:rPr>
        <w:rFonts w:hint="default"/>
      </w:rPr>
    </w:lvl>
    <w:lvl w:ilvl="3">
      <w:start w:val="1"/>
      <w:numFmt w:val="lowerLetter"/>
      <w:pStyle w:val="ScheduleNumbering4"/>
      <w:lvlText w:val="(%4)"/>
      <w:lvlJc w:val="left"/>
      <w:pPr>
        <w:ind w:left="2126" w:hanging="708"/>
      </w:pPr>
      <w:rPr>
        <w:rFonts w:hint="default"/>
      </w:rPr>
    </w:lvl>
    <w:lvl w:ilvl="4">
      <w:start w:val="1"/>
      <w:numFmt w:val="lowerRoman"/>
      <w:pStyle w:val="ScheduleNumbering5"/>
      <w:lvlText w:val="(%5)"/>
      <w:lvlJc w:val="left"/>
      <w:pPr>
        <w:ind w:left="2835" w:hanging="709"/>
      </w:pPr>
      <w:rPr>
        <w:rFonts w:hint="default"/>
      </w:rPr>
    </w:lvl>
    <w:lvl w:ilvl="5">
      <w:start w:val="1"/>
      <w:numFmt w:val="none"/>
      <w:lvlRestart w:val="0"/>
      <w:suff w:val="nothing"/>
      <w:lvlJc w:val="left"/>
      <w:pPr>
        <w:ind w:left="0" w:firstLine="0"/>
      </w:pPr>
      <w:rPr>
        <w:rFonts w:hint="default"/>
      </w:rPr>
    </w:lvl>
    <w:lvl w:ilvl="6">
      <w:start w:val="1"/>
      <w:numFmt w:val="none"/>
      <w:lvlRestart w:val="0"/>
      <w:suff w:val="nothing"/>
      <w:lvlJc w:val="left"/>
      <w:pPr>
        <w:ind w:left="0" w:firstLine="0"/>
      </w:pPr>
      <w:rPr>
        <w:rFonts w:hint="default"/>
      </w:rPr>
    </w:lvl>
    <w:lvl w:ilvl="7">
      <w:start w:val="1"/>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5">
    <w:nsid w:val="1C356454"/>
    <w:multiLevelType w:val="multilevel"/>
    <w:tmpl w:val="FD0C73DE"/>
    <w:lvl w:ilvl="0">
      <w:start w:val="1"/>
      <w:numFmt w:val="upperLetter"/>
      <w:pStyle w:val="Recital"/>
      <w:lvlText w:val="%1"/>
      <w:lvlJc w:val="left"/>
      <w:pPr>
        <w:tabs>
          <w:tab w:val="num" w:pos="709"/>
        </w:tabs>
        <w:ind w:left="709" w:hanging="709"/>
      </w:pPr>
      <w:rPr>
        <w:rFonts w:hint="default"/>
        <w:b/>
        <w:i w:val="0"/>
        <w:sz w:val="20"/>
      </w:rPr>
    </w:lvl>
    <w:lvl w:ilvl="1">
      <w:start w:val="1"/>
      <w:numFmt w:val="none"/>
      <w:lvlRestart w:val="0"/>
      <w:suff w:val="nothing"/>
      <w:lvlJc w:val="left"/>
      <w:pPr>
        <w:ind w:left="0" w:firstLine="0"/>
      </w:pPr>
      <w:rPr>
        <w:rFonts w:hint="default"/>
      </w:rPr>
    </w:lvl>
    <w:lvl w:ilvl="2">
      <w:start w:val="1"/>
      <w:numFmt w:val="none"/>
      <w:lvlRestart w:val="0"/>
      <w:suff w:val="nothing"/>
      <w:lvlJc w:val="left"/>
      <w:pPr>
        <w:ind w:left="0" w:firstLine="0"/>
      </w:pPr>
      <w:rPr>
        <w:rFonts w:hint="default"/>
      </w:rPr>
    </w:lvl>
    <w:lvl w:ilvl="3">
      <w:start w:val="1"/>
      <w:numFmt w:val="none"/>
      <w:lvlRestart w:val="0"/>
      <w:suff w:val="nothing"/>
      <w:lvlJc w:val="left"/>
      <w:pPr>
        <w:ind w:left="0" w:firstLine="0"/>
      </w:pPr>
      <w:rPr>
        <w:rFonts w:hint="default"/>
      </w:rPr>
    </w:lvl>
    <w:lvl w:ilvl="4">
      <w:start w:val="1"/>
      <w:numFmt w:val="none"/>
      <w:lvlRestart w:val="0"/>
      <w:suff w:val="nothing"/>
      <w:lvlJc w:val="left"/>
      <w:pPr>
        <w:ind w:left="0" w:firstLine="0"/>
      </w:pPr>
      <w:rPr>
        <w:rFonts w:hint="default"/>
      </w:rPr>
    </w:lvl>
    <w:lvl w:ilvl="5">
      <w:start w:val="1"/>
      <w:numFmt w:val="none"/>
      <w:lvlRestart w:val="0"/>
      <w:suff w:val="nothing"/>
      <w:lvlJc w:val="left"/>
      <w:pPr>
        <w:ind w:left="0" w:firstLine="0"/>
      </w:pPr>
      <w:rPr>
        <w:rFonts w:hint="default"/>
      </w:rPr>
    </w:lvl>
    <w:lvl w:ilvl="6">
      <w:start w:val="1"/>
      <w:numFmt w:val="none"/>
      <w:lvlRestart w:val="0"/>
      <w:suff w:val="nothing"/>
      <w:lvlJc w:val="left"/>
      <w:pPr>
        <w:ind w:left="0" w:firstLine="0"/>
      </w:pPr>
      <w:rPr>
        <w:rFonts w:hint="default"/>
      </w:rPr>
    </w:lvl>
    <w:lvl w:ilvl="7">
      <w:start w:val="1"/>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6">
    <w:nsid w:val="2B3B2A8A"/>
    <w:multiLevelType w:val="multilevel"/>
    <w:tmpl w:val="4D400834"/>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none"/>
      <w:lvlRestart w:val="0"/>
      <w:suff w:val="nothing"/>
      <w:lvlJc w:val="left"/>
      <w:pPr>
        <w:ind w:left="0" w:firstLine="0"/>
      </w:pPr>
      <w:rPr>
        <w:rFonts w:hint="default"/>
      </w:rPr>
    </w:lvl>
    <w:lvl w:ilvl="2">
      <w:start w:val="1"/>
      <w:numFmt w:val="none"/>
      <w:lvlRestart w:val="0"/>
      <w:suff w:val="nothing"/>
      <w:lvlJc w:val="left"/>
      <w:pPr>
        <w:ind w:left="0" w:firstLine="0"/>
      </w:pPr>
      <w:rPr>
        <w:rFonts w:hint="default"/>
      </w:rPr>
    </w:lvl>
    <w:lvl w:ilvl="3">
      <w:start w:val="1"/>
      <w:numFmt w:val="none"/>
      <w:lvlRestart w:val="0"/>
      <w:suff w:val="nothing"/>
      <w:lvlJc w:val="left"/>
      <w:pPr>
        <w:ind w:left="0" w:firstLine="0"/>
      </w:pPr>
      <w:rPr>
        <w:rFonts w:hint="default"/>
      </w:rPr>
    </w:lvl>
    <w:lvl w:ilvl="4">
      <w:start w:val="1"/>
      <w:numFmt w:val="none"/>
      <w:lvlRestart w:val="0"/>
      <w:suff w:val="nothing"/>
      <w:lvlJc w:val="left"/>
      <w:pPr>
        <w:ind w:left="0" w:firstLine="0"/>
      </w:pPr>
      <w:rPr>
        <w:rFonts w:hint="default"/>
      </w:rPr>
    </w:lvl>
    <w:lvl w:ilvl="5">
      <w:start w:val="1"/>
      <w:numFmt w:val="none"/>
      <w:lvlRestart w:val="0"/>
      <w:suff w:val="nothing"/>
      <w:lvlJc w:val="left"/>
      <w:pPr>
        <w:ind w:left="0" w:firstLine="0"/>
      </w:pPr>
      <w:rPr>
        <w:rFonts w:hint="default"/>
      </w:rPr>
    </w:lvl>
    <w:lvl w:ilvl="6">
      <w:start w:val="1"/>
      <w:numFmt w:val="none"/>
      <w:lvlRestart w:val="0"/>
      <w:suff w:val="nothing"/>
      <w:lvlJc w:val="left"/>
      <w:pPr>
        <w:ind w:left="0" w:firstLine="0"/>
      </w:pPr>
      <w:rPr>
        <w:rFonts w:hint="default"/>
      </w:rPr>
    </w:lvl>
    <w:lvl w:ilvl="7">
      <w:start w:val="1"/>
      <w:numFmt w:val="none"/>
      <w:lvlRestart w:val="0"/>
      <w:suff w:val="nothing"/>
      <w:lvlJc w:val="left"/>
      <w:pPr>
        <w:ind w:left="0" w:firstLine="0"/>
      </w:pPr>
      <w:rPr>
        <w:rFonts w:hint="default"/>
      </w:rPr>
    </w:lvl>
    <w:lvl w:ilvl="8">
      <w:start w:val="1"/>
      <w:numFmt w:val="none"/>
      <w:lvlRestart w:val="0"/>
      <w:suff w:val="nothing"/>
      <w:lvlJc w:val="left"/>
      <w:pPr>
        <w:ind w:left="0" w:firstLine="0"/>
      </w:pPr>
      <w:rPr>
        <w:rFonts w:hint="default"/>
      </w:rPr>
    </w:lvl>
  </w:abstractNum>
  <w:abstractNum w:abstractNumId="7">
    <w:nsid w:val="2F516EE0"/>
    <w:multiLevelType w:val="multilevel"/>
    <w:tmpl w:val="F74A557C"/>
    <w:lvl w:ilvl="0">
      <w:start w:val="1"/>
      <w:numFmt w:val="upperLetter"/>
      <w:pStyle w:val="BilingualRecital"/>
      <w:lvlText w:val="%1"/>
      <w:lvlJc w:val="left"/>
      <w:pPr>
        <w:tabs>
          <w:tab w:val="num" w:pos="709"/>
        </w:tabs>
        <w:ind w:left="709" w:hanging="709"/>
      </w:pPr>
      <w:rPr>
        <w:rFonts w:hint="default"/>
        <w:b/>
        <w:i w:val="0"/>
      </w:rPr>
    </w:lvl>
    <w:lvl w:ilvl="1">
      <w:start w:val="1"/>
      <w:numFmt w:val="none"/>
      <w:lvlRestart w:val="0"/>
      <w:suff w:val="nothing"/>
      <w:lvlJc w:val="left"/>
      <w:pPr>
        <w:ind w:left="0" w:firstLine="0"/>
      </w:pPr>
      <w:rPr>
        <w:rFonts w:hint="default"/>
      </w:rPr>
    </w:lvl>
    <w:lvl w:ilvl="2">
      <w:start w:val="1"/>
      <w:numFmt w:val="none"/>
      <w:lvlRestart w:val="0"/>
      <w:suff w:val="nothing"/>
      <w:lvlJc w:val="right"/>
      <w:pPr>
        <w:ind w:left="0" w:firstLine="0"/>
      </w:pPr>
      <w:rPr>
        <w:rFonts w:hint="default"/>
      </w:rPr>
    </w:lvl>
    <w:lvl w:ilvl="3">
      <w:start w:val="1"/>
      <w:numFmt w:val="none"/>
      <w:lvlRestart w:val="0"/>
      <w:suff w:val="nothing"/>
      <w:lvlJc w:val="left"/>
      <w:pPr>
        <w:ind w:left="0" w:firstLine="0"/>
      </w:pPr>
      <w:rPr>
        <w:rFonts w:hint="default"/>
      </w:rPr>
    </w:lvl>
    <w:lvl w:ilvl="4">
      <w:start w:val="1"/>
      <w:numFmt w:val="none"/>
      <w:lvlRestart w:val="0"/>
      <w:suff w:val="nothing"/>
      <w:lvlJc w:val="left"/>
      <w:pPr>
        <w:ind w:left="0" w:firstLine="0"/>
      </w:pPr>
      <w:rPr>
        <w:rFonts w:hint="default"/>
      </w:rPr>
    </w:lvl>
    <w:lvl w:ilvl="5">
      <w:start w:val="1"/>
      <w:numFmt w:val="none"/>
      <w:lvlRestart w:val="0"/>
      <w:suff w:val="nothing"/>
      <w:lvlJc w:val="right"/>
      <w:pPr>
        <w:ind w:left="0" w:firstLine="0"/>
      </w:pPr>
      <w:rPr>
        <w:rFonts w:hint="default"/>
      </w:rPr>
    </w:lvl>
    <w:lvl w:ilvl="6">
      <w:start w:val="1"/>
      <w:numFmt w:val="none"/>
      <w:lvlRestart w:val="0"/>
      <w:suff w:val="nothing"/>
      <w:lvlJc w:val="left"/>
      <w:pPr>
        <w:ind w:left="0" w:firstLine="0"/>
      </w:pPr>
      <w:rPr>
        <w:rFonts w:hint="default"/>
      </w:rPr>
    </w:lvl>
    <w:lvl w:ilvl="7">
      <w:start w:val="1"/>
      <w:numFmt w:val="none"/>
      <w:lvlRestart w:val="0"/>
      <w:suff w:val="nothing"/>
      <w:lvlJc w:val="left"/>
      <w:pPr>
        <w:ind w:left="0" w:firstLine="0"/>
      </w:pPr>
      <w:rPr>
        <w:rFonts w:hint="default"/>
      </w:rPr>
    </w:lvl>
    <w:lvl w:ilvl="8">
      <w:start w:val="1"/>
      <w:numFmt w:val="none"/>
      <w:lvlRestart w:val="0"/>
      <w:suff w:val="nothing"/>
      <w:lvlJc w:val="right"/>
      <w:pPr>
        <w:ind w:left="0" w:firstLine="0"/>
      </w:pPr>
      <w:rPr>
        <w:rFonts w:hint="default"/>
      </w:rPr>
    </w:lvl>
  </w:abstractNum>
  <w:abstractNum w:abstractNumId="8">
    <w:nsid w:val="32465C0D"/>
    <w:multiLevelType w:val="multilevel"/>
    <w:tmpl w:val="C19AA620"/>
    <w:lvl w:ilvl="0">
      <w:start w:val="1"/>
      <w:numFmt w:val="decimal"/>
      <w:pStyle w:val="Schedule"/>
      <w:suff w:val="nothing"/>
      <w:lvlText w:val="Schedule %1"/>
      <w:lvlJc w:val="left"/>
      <w:pPr>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391028F"/>
    <w:multiLevelType w:val="multilevel"/>
    <w:tmpl w:val="2F961944"/>
    <w:lvl w:ilvl="0">
      <w:start w:val="1"/>
      <w:numFmt w:val="decimal"/>
      <w:pStyle w:val="BilingualHeading1"/>
      <w:lvlText w:val="%1"/>
      <w:lvlJc w:val="left"/>
      <w:pPr>
        <w:tabs>
          <w:tab w:val="num" w:pos="709"/>
        </w:tabs>
        <w:ind w:left="709" w:hanging="709"/>
      </w:pPr>
      <w:rPr>
        <w:rFonts w:ascii="Arial" w:hAnsi="Arial" w:hint="default"/>
        <w:b w:val="0"/>
        <w:i w:val="0"/>
        <w:sz w:val="20"/>
      </w:rPr>
    </w:lvl>
    <w:lvl w:ilvl="1">
      <w:start w:val="1"/>
      <w:numFmt w:val="decimal"/>
      <w:pStyle w:val="BilingualHeading2"/>
      <w:lvlText w:val="%1.%2"/>
      <w:lvlJc w:val="left"/>
      <w:pPr>
        <w:tabs>
          <w:tab w:val="num" w:pos="709"/>
        </w:tabs>
        <w:ind w:left="709" w:hanging="709"/>
      </w:pPr>
      <w:rPr>
        <w:rFonts w:ascii="Arial" w:hAnsi="Arial" w:hint="default"/>
        <w:b w:val="0"/>
        <w:i w:val="0"/>
        <w:sz w:val="20"/>
      </w:rPr>
    </w:lvl>
    <w:lvl w:ilvl="2">
      <w:start w:val="1"/>
      <w:numFmt w:val="decimal"/>
      <w:pStyle w:val="BilingualHeading3"/>
      <w:lvlText w:val="(%3)"/>
      <w:lvlJc w:val="left"/>
      <w:pPr>
        <w:tabs>
          <w:tab w:val="num" w:pos="1418"/>
        </w:tabs>
        <w:ind w:left="1418" w:hanging="709"/>
      </w:pPr>
      <w:rPr>
        <w:rFonts w:ascii="Arial" w:hAnsi="Arial" w:hint="default"/>
        <w:b w:val="0"/>
        <w:i w:val="0"/>
        <w:sz w:val="20"/>
      </w:rPr>
    </w:lvl>
    <w:lvl w:ilvl="3">
      <w:start w:val="1"/>
      <w:numFmt w:val="lowerLetter"/>
      <w:pStyle w:val="BilingualHeading4"/>
      <w:lvlText w:val="(%4)"/>
      <w:lvlJc w:val="left"/>
      <w:pPr>
        <w:tabs>
          <w:tab w:val="num" w:pos="2126"/>
        </w:tabs>
        <w:ind w:left="2126" w:hanging="708"/>
      </w:pPr>
      <w:rPr>
        <w:rFonts w:ascii="Arial" w:hAnsi="Arial" w:hint="default"/>
        <w:b w:val="0"/>
        <w:i w:val="0"/>
        <w:sz w:val="20"/>
      </w:rPr>
    </w:lvl>
    <w:lvl w:ilvl="4">
      <w:start w:val="1"/>
      <w:numFmt w:val="lowerRoman"/>
      <w:pStyle w:val="BilingualHeading5"/>
      <w:lvlText w:val="(%5)"/>
      <w:lvlJc w:val="left"/>
      <w:pPr>
        <w:tabs>
          <w:tab w:val="num" w:pos="2835"/>
        </w:tabs>
        <w:ind w:left="2835" w:hanging="709"/>
      </w:pPr>
      <w:rPr>
        <w:rFonts w:ascii="Arial" w:hAnsi="Arial" w:hint="default"/>
        <w:b w:val="0"/>
        <w:i w:val="0"/>
        <w:sz w:val="20"/>
      </w:rPr>
    </w:lvl>
    <w:lvl w:ilvl="5">
      <w:start w:val="1"/>
      <w:numFmt w:val="upperLetter"/>
      <w:pStyle w:val="BilingualHeading6"/>
      <w:lvlText w:val="(%6)"/>
      <w:lvlJc w:val="left"/>
      <w:pPr>
        <w:tabs>
          <w:tab w:val="num" w:pos="3544"/>
        </w:tabs>
        <w:ind w:left="3544" w:hanging="709"/>
      </w:pPr>
      <w:rPr>
        <w:rFonts w:ascii="Arial" w:hAnsi="Arial" w:hint="default"/>
        <w:b w:val="0"/>
        <w:i w:val="0"/>
        <w:sz w:val="20"/>
      </w:rPr>
    </w:lvl>
    <w:lvl w:ilvl="6">
      <w:start w:val="1"/>
      <w:numFmt w:val="none"/>
      <w:lvlRestart w:val="0"/>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0">
    <w:nsid w:val="495041F8"/>
    <w:multiLevelType w:val="multilevel"/>
    <w:tmpl w:val="F0F0D1DE"/>
    <w:styleLink w:val="Style1"/>
    <w:lvl w:ilvl="0">
      <w:start w:val="1"/>
      <w:numFmt w:val="decimal"/>
      <w:lvlText w:val="%1"/>
      <w:lvlJc w:val="left"/>
      <w:pPr>
        <w:tabs>
          <w:tab w:val="num" w:pos="709"/>
        </w:tabs>
        <w:ind w:left="709" w:hanging="709"/>
      </w:pPr>
      <w:rPr>
        <w:rFonts w:ascii="Arial" w:hAnsi="Arial" w:hint="default"/>
        <w:b w:val="0"/>
        <w:i w:val="0"/>
        <w:sz w:val="20"/>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decimal"/>
      <w:lvlText w:val="(%3)"/>
      <w:lvlJc w:val="left"/>
      <w:pPr>
        <w:tabs>
          <w:tab w:val="num" w:pos="1418"/>
        </w:tabs>
        <w:ind w:left="1418" w:hanging="709"/>
      </w:pPr>
      <w:rPr>
        <w:rFonts w:ascii="Arial" w:hAnsi="Arial" w:hint="default"/>
        <w:b w:val="0"/>
        <w:i w:val="0"/>
        <w:sz w:val="20"/>
      </w:rPr>
    </w:lvl>
    <w:lvl w:ilvl="3">
      <w:start w:val="1"/>
      <w:numFmt w:val="lowerLetter"/>
      <w:lvlText w:val="(%4)"/>
      <w:lvlJc w:val="left"/>
      <w:pPr>
        <w:tabs>
          <w:tab w:val="num" w:pos="2126"/>
        </w:tabs>
        <w:ind w:left="2126" w:hanging="708"/>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4"/>
        </w:tabs>
        <w:ind w:left="3544" w:hanging="709"/>
      </w:pPr>
      <w:rPr>
        <w:rFonts w:ascii="Arial" w:hAnsi="Arial" w:hint="default"/>
        <w:b w:val="0"/>
        <w:i w:val="0"/>
        <w:sz w:val="20"/>
      </w:rPr>
    </w:lvl>
    <w:lvl w:ilvl="6">
      <w:start w:val="1"/>
      <w:numFmt w:val="none"/>
      <w:suff w:val="nothing"/>
      <w:lvlJc w:val="left"/>
      <w:pPr>
        <w:ind w:left="0" w:firstLine="0"/>
      </w:pPr>
      <w:rPr>
        <w:rFonts w:hint="default"/>
      </w:rPr>
    </w:lvl>
    <w:lvl w:ilvl="7">
      <w:start w:val="1"/>
      <w:numFmt w:val="none"/>
      <w:suff w:val="nothing"/>
      <w:lvlJc w:val="left"/>
      <w:pPr>
        <w:ind w:left="0" w:firstLine="0"/>
      </w:pPr>
      <w:rPr>
        <w:rFonts w:hint="default"/>
      </w:rPr>
    </w:lvl>
    <w:lvl w:ilvl="8">
      <w:start w:val="1"/>
      <w:numFmt w:val="none"/>
      <w:suff w:val="nothing"/>
      <w:lvlJc w:val="left"/>
      <w:pPr>
        <w:ind w:left="0" w:firstLine="0"/>
      </w:pPr>
      <w:rPr>
        <w:rFonts w:hint="default"/>
      </w:rPr>
    </w:lvl>
  </w:abstractNum>
  <w:abstractNum w:abstractNumId="11">
    <w:nsid w:val="4DCB367B"/>
    <w:multiLevelType w:val="hybridMultilevel"/>
    <w:tmpl w:val="B9EADC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539A7DDD"/>
    <w:multiLevelType w:val="hybridMultilevel"/>
    <w:tmpl w:val="D4D441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5DA6621A"/>
    <w:multiLevelType w:val="hybridMultilevel"/>
    <w:tmpl w:val="ABC8A302"/>
    <w:lvl w:ilvl="0">
      <w:start w:val="1"/>
      <w:numFmt w:val="upperLetter"/>
      <w:pStyle w:val="BilingualAnnexure"/>
      <w:lvlText w:val="Annexure %1"/>
      <w:lvlJc w:val="left"/>
      <w:pPr>
        <w:ind w:left="720" w:hanging="360"/>
      </w:pPr>
      <w:rPr>
        <w:rFonts w:ascii="Arial Bold" w:hAnsi="Arial Bold" w:hint="default"/>
        <w:b/>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FDF3DC8"/>
    <w:multiLevelType w:val="multilevel"/>
    <w:tmpl w:val="0032BDA0"/>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nsid w:val="62483434"/>
    <w:multiLevelType w:val="multilevel"/>
    <w:tmpl w:val="C72679B4"/>
    <w:lvl w:ilvl="0">
      <w:start w:val="1"/>
      <w:numFmt w:val="bullet"/>
      <w:pStyle w:val="NRFABullet1"/>
      <w:lvlText w:val=""/>
      <w:lvlJc w:val="left"/>
      <w:pPr>
        <w:ind w:left="709" w:hanging="709"/>
      </w:pPr>
      <w:rPr>
        <w:rFonts w:ascii="Symbol" w:hAnsi="Symbol" w:hint="default"/>
      </w:rPr>
    </w:lvl>
    <w:lvl w:ilvl="1">
      <w:start w:val="1"/>
      <w:numFmt w:val="bullet"/>
      <w:pStyle w:val="NRFABullet2"/>
      <w:lvlText w:val="-"/>
      <w:lvlJc w:val="left"/>
      <w:pPr>
        <w:ind w:left="1418" w:hanging="709"/>
      </w:pPr>
      <w:rPr>
        <w:rFonts w:ascii="Courier New" w:hAnsi="Courier New" w:hint="default"/>
      </w:rPr>
    </w:lvl>
    <w:lvl w:ilvl="2">
      <w:start w:val="1"/>
      <w:numFmt w:val="none"/>
      <w:lvlJc w:val="left"/>
      <w:pPr>
        <w:ind w:left="2126" w:hanging="708"/>
      </w:pPr>
      <w:rPr>
        <w:rFonts w:hint="default"/>
      </w:rPr>
    </w:lvl>
    <w:lvl w:ilvl="3">
      <w:start w:val="1"/>
      <w:numFmt w:val="none"/>
      <w:lvlJc w:val="left"/>
      <w:pPr>
        <w:ind w:left="2835" w:hanging="709"/>
      </w:pPr>
      <w:rPr>
        <w:rFonts w:hint="default"/>
      </w:rPr>
    </w:lvl>
    <w:lvl w:ilvl="4">
      <w:start w:val="1"/>
      <w:numFmt w:val="none"/>
      <w:lvlJc w:val="left"/>
      <w:pPr>
        <w:ind w:left="3544" w:hanging="709"/>
      </w:pPr>
      <w:rPr>
        <w:rFonts w:hint="default"/>
      </w:rPr>
    </w:lvl>
    <w:lvl w:ilvl="5">
      <w:start w:val="1"/>
      <w:numFmt w:val="none"/>
      <w:lvlJc w:val="left"/>
      <w:pPr>
        <w:ind w:left="4253" w:hanging="709"/>
      </w:pPr>
      <w:rPr>
        <w:rFonts w:hint="default"/>
      </w:rPr>
    </w:lvl>
    <w:lvl w:ilvl="6">
      <w:start w:val="1"/>
      <w:numFmt w:val="none"/>
      <w:lvlText w:val="%7"/>
      <w:lvlJc w:val="left"/>
      <w:pPr>
        <w:ind w:left="4820" w:hanging="709"/>
      </w:pPr>
      <w:rPr>
        <w:rFonts w:hint="default"/>
      </w:rPr>
    </w:lvl>
    <w:lvl w:ilvl="7">
      <w:start w:val="1"/>
      <w:numFmt w:val="none"/>
      <w:lvlJc w:val="left"/>
      <w:pPr>
        <w:ind w:left="5528" w:hanging="708"/>
      </w:pPr>
      <w:rPr>
        <w:rFonts w:hint="default"/>
      </w:rPr>
    </w:lvl>
    <w:lvl w:ilvl="8">
      <w:start w:val="1"/>
      <w:numFmt w:val="none"/>
      <w:lvlJc w:val="left"/>
      <w:pPr>
        <w:ind w:left="6237" w:hanging="709"/>
      </w:pPr>
      <w:rPr>
        <w:rFonts w:hint="default"/>
      </w:rPr>
    </w:lvl>
  </w:abstractNum>
  <w:abstractNum w:abstractNumId="16">
    <w:nsid w:val="6471022D"/>
    <w:multiLevelType w:val="hybridMultilevel"/>
    <w:tmpl w:val="6E82D220"/>
    <w:lvl w:ilvl="0">
      <w:start w:val="1"/>
      <w:numFmt w:val="decimal"/>
      <w:pStyle w:val="BilingualItem"/>
      <w:lvlText w:val="Item %1"/>
      <w:lvlJc w:val="left"/>
      <w:pPr>
        <w:ind w:left="720" w:hanging="360"/>
      </w:pPr>
      <w:rPr>
        <w:rFonts w:hint="default"/>
        <w:b w:val="0"/>
        <w:i w:val="0"/>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67545DF5"/>
    <w:multiLevelType w:val="multilevel"/>
    <w:tmpl w:val="C7F812CE"/>
    <w:lvl w:ilvl="0">
      <w:start w:val="1"/>
      <w:numFmt w:val="decimal"/>
      <w:lvlText w:val="%1."/>
      <w:lvlJc w:val="left"/>
      <w:pPr>
        <w:tabs>
          <w:tab w:val="num" w:pos="782"/>
        </w:tabs>
        <w:ind w:left="782" w:hanging="782"/>
      </w:pPr>
      <w:rPr>
        <w:rFonts w:hint="default"/>
        <w:b w:val="0"/>
        <w:i w:val="0"/>
      </w:rPr>
    </w:lvl>
    <w:lvl w:ilvl="1">
      <w:start w:val="1"/>
      <w:numFmt w:val="decimal"/>
      <w:lvlText w:val="%1.%2"/>
      <w:lvlJc w:val="left"/>
      <w:pPr>
        <w:tabs>
          <w:tab w:val="num" w:pos="782"/>
        </w:tabs>
        <w:ind w:left="782" w:hanging="782"/>
      </w:pPr>
      <w:rPr>
        <w:rFonts w:hint="default"/>
        <w:b w:val="0"/>
        <w:i w:val="0"/>
      </w:rPr>
    </w:lvl>
    <w:lvl w:ilvl="2">
      <w:start w:val="1"/>
      <w:numFmt w:val="lowerLetter"/>
      <w:pStyle w:val="Levela"/>
      <w:lvlText w:val="(%3)"/>
      <w:lvlJc w:val="left"/>
      <w:pPr>
        <w:tabs>
          <w:tab w:val="num" w:pos="1406"/>
        </w:tabs>
        <w:ind w:left="1406" w:hanging="624"/>
      </w:pPr>
      <w:rPr>
        <w:rFonts w:hint="default"/>
      </w:rPr>
    </w:lvl>
    <w:lvl w:ilvl="3">
      <w:start w:val="1"/>
      <w:numFmt w:val="lowerRoman"/>
      <w:lvlText w:val="(%4)"/>
      <w:lvlJc w:val="left"/>
      <w:pPr>
        <w:tabs>
          <w:tab w:val="num" w:pos="2030"/>
        </w:tabs>
        <w:ind w:left="2030" w:hanging="624"/>
      </w:pPr>
      <w:rPr>
        <w:rFonts w:hint="default"/>
      </w:rPr>
    </w:lvl>
    <w:lvl w:ilvl="4">
      <w:start w:val="1"/>
      <w:numFmt w:val="upperLetter"/>
      <w:lvlText w:val="(%5)"/>
      <w:lvlJc w:val="left"/>
      <w:pPr>
        <w:tabs>
          <w:tab w:val="num" w:pos="2654"/>
        </w:tabs>
        <w:ind w:left="2654" w:hanging="624"/>
      </w:pPr>
      <w:rPr>
        <w:rFonts w:hint="default"/>
      </w:rPr>
    </w:lvl>
    <w:lvl w:ilvl="5">
      <w:start w:val="27"/>
      <w:numFmt w:val="lowerLetter"/>
      <w:lvlText w:val="(%6)"/>
      <w:lvlJc w:val="left"/>
      <w:pPr>
        <w:tabs>
          <w:tab w:val="num" w:pos="3277"/>
        </w:tabs>
        <w:ind w:left="3277" w:hanging="623"/>
      </w:pPr>
      <w:rPr>
        <w:rFonts w:hint="default"/>
      </w:rPr>
    </w:lvl>
    <w:lvl w:ilvl="6">
      <w:start w:val="1"/>
      <w:numFmt w:val="lowerLetter"/>
      <w:lvlText w:val="(%7)"/>
      <w:lvlJc w:val="left"/>
      <w:pPr>
        <w:tabs>
          <w:tab w:val="num" w:pos="3901"/>
        </w:tabs>
        <w:ind w:left="3901" w:hanging="624"/>
      </w:pPr>
      <w:rPr>
        <w:rFonts w:hint="default"/>
      </w:rPr>
    </w:lvl>
    <w:lvl w:ilvl="7">
      <w:start w:val="1"/>
      <w:numFmt w:val="lowerRoman"/>
      <w:lvlText w:val="(%8)"/>
      <w:lvlJc w:val="left"/>
      <w:pPr>
        <w:tabs>
          <w:tab w:val="num" w:pos="4525"/>
        </w:tabs>
        <w:ind w:left="4525" w:hanging="624"/>
      </w:pPr>
      <w:rPr>
        <w:rFonts w:hint="default"/>
      </w:rPr>
    </w:lvl>
    <w:lvl w:ilvl="8">
      <w:start w:val="1"/>
      <w:numFmt w:val="none"/>
      <w:lvlJc w:val="left"/>
      <w:pPr>
        <w:ind w:left="0" w:firstLine="0"/>
      </w:pPr>
      <w:rPr>
        <w:rFonts w:hint="default"/>
      </w:rPr>
    </w:lvl>
  </w:abstractNum>
  <w:abstractNum w:abstractNumId="18">
    <w:nsid w:val="76765ACA"/>
    <w:multiLevelType w:val="multilevel"/>
    <w:tmpl w:val="EE6E8BE6"/>
    <w:styleLink w:val="Style2"/>
    <w:lvl w:ilvl="0">
      <w:start w:val="1"/>
      <w:numFmt w:val="decimal"/>
      <w:lvlText w:val="%1"/>
      <w:lvlJc w:val="left"/>
      <w:pPr>
        <w:ind w:left="709" w:hanging="709"/>
      </w:pPr>
      <w:rPr>
        <w:rFonts w:ascii="Arial Bold" w:hAnsi="Arial Bold" w:hint="default"/>
        <w:b/>
        <w:i w:val="0"/>
        <w:sz w:val="20"/>
      </w:rPr>
    </w:lvl>
    <w:lvl w:ilvl="1">
      <w:start w:val="1"/>
      <w:numFmt w:val="decimal"/>
      <w:lvlText w:val="%2."/>
      <w:lvlJc w:val="left"/>
      <w:pPr>
        <w:ind w:left="709" w:hanging="709"/>
      </w:pPr>
      <w:rPr>
        <w:rFonts w:ascii="Arial" w:hAnsi="Arial" w:hint="default"/>
        <w:b/>
        <w:sz w:val="20"/>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78360426"/>
    <w:multiLevelType w:val="hybridMultilevel"/>
    <w:tmpl w:val="007A826A"/>
    <w:lvl w:ilvl="0">
      <w:start w:val="1"/>
      <w:numFmt w:val="decimal"/>
      <w:lvlText w:val="%1."/>
      <w:lvlJc w:val="left"/>
      <w:pPr>
        <w:ind w:left="720" w:hanging="720"/>
      </w:pPr>
      <w:rPr>
        <w:rFonts w:hint="default"/>
        <w:b w:val="0"/>
      </w:rPr>
    </w:lvl>
    <w:lvl w:ilvl="1">
      <w:start w:val="1"/>
      <w:numFmt w:val="lowerRoman"/>
      <w:lvlText w:val="%2."/>
      <w:lvlJc w:val="right"/>
      <w:pPr>
        <w:tabs>
          <w:tab w:val="num" w:pos="0"/>
        </w:tabs>
        <w:ind w:left="1080" w:hanging="360"/>
      </w:pPr>
      <w:rPr>
        <w:rFonts w:hint="default"/>
        <w:b w:val="0"/>
      </w:rPr>
    </w:lvl>
    <w:lvl w:ilvl="2">
      <w:start w:val="1"/>
      <w:numFmt w:val="lowerRoman"/>
      <w:lvlText w:val="%3."/>
      <w:lvlJc w:val="right"/>
      <w:pPr>
        <w:ind w:left="1800" w:hanging="180"/>
      </w:pPr>
      <w:rPr>
        <w:b w:val="0"/>
      </w:rPr>
    </w:lvl>
    <w:lvl w:ilvl="3">
      <w:start w:val="1"/>
      <w:numFmt w:val="decimal"/>
      <w:lvlText w:val="%4."/>
      <w:lvlJc w:val="left"/>
      <w:pPr>
        <w:ind w:left="2520" w:hanging="360"/>
      </w:pPr>
    </w:lvl>
    <w:lvl w:ilvl="4">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num w:numId="1">
    <w:abstractNumId w:val="14"/>
  </w:num>
  <w:num w:numId="2">
    <w:abstractNumId w:val="13"/>
  </w:num>
  <w:num w:numId="3">
    <w:abstractNumId w:val="9"/>
  </w:num>
  <w:num w:numId="4">
    <w:abstractNumId w:val="16"/>
  </w:num>
  <w:num w:numId="5">
    <w:abstractNumId w:val="7"/>
  </w:num>
  <w:num w:numId="6">
    <w:abstractNumId w:val="3"/>
  </w:num>
  <w:num w:numId="7">
    <w:abstractNumId w:val="1"/>
  </w:num>
  <w:num w:numId="8">
    <w:abstractNumId w:val="2"/>
  </w:num>
  <w:num w:numId="9">
    <w:abstractNumId w:val="6"/>
  </w:num>
  <w:num w:numId="10">
    <w:abstractNumId w:val="15"/>
  </w:num>
  <w:num w:numId="11">
    <w:abstractNumId w:val="5"/>
  </w:num>
  <w:num w:numId="12">
    <w:abstractNumId w:val="8"/>
  </w:num>
  <w:num w:numId="13">
    <w:abstractNumId w:val="4"/>
  </w:num>
  <w:num w:numId="14">
    <w:abstractNumId w:val="10"/>
  </w:num>
  <w:num w:numId="15">
    <w:abstractNumId w:val="18"/>
  </w:num>
  <w:num w:numId="16">
    <w:abstractNumId w:val="2"/>
  </w:num>
  <w:num w:numId="17">
    <w:abstractNumId w:val="0"/>
  </w:num>
  <w:num w:numId="18">
    <w:abstractNumId w:val="2"/>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2"/>
  </w:num>
  <w:num w:numId="22">
    <w:abstractNumId w:val="2"/>
  </w:num>
  <w:num w:numId="23">
    <w:abstractNumId w:val="19"/>
  </w:num>
  <w:num w:numId="24">
    <w:abstractNumId w:val="2"/>
  </w:num>
  <w:num w:numId="25">
    <w:abstractNumId w:val="11"/>
  </w:num>
  <w:num w:numId="26">
    <w:abstractNumId w:val="2"/>
  </w:num>
  <w:num w:numId="27">
    <w:abstractNumId w:val="2"/>
  </w:num>
  <w:num w:numId="28">
    <w:abstractNumId w:val="2"/>
  </w:num>
  <w:num w:numId="29">
    <w:abstractNumId w:val="2"/>
  </w:num>
  <w:num w:numId="30">
    <w:abstractNumId w:val="2"/>
  </w:num>
  <w:num w:numId="31">
    <w:abstractNumId w:val="12"/>
  </w:num>
  <w:num w:numId="32">
    <w:abstractNumId w:val="2"/>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Formatting/>
  <w:defaultTabStop w:val="720"/>
  <w:drawingGridHorizontalSpacing w:val="171"/>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Setting w:name="differentiateMultirowTableHeaders" w:uri="http://schemas.microsoft.com/office/word" w:val="1"/>
  </w:compat>
  <m:mathPr>
    <m:mathFont m:val="Cambria Math"/>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13" w:qFormat="1"/>
    <w:lsdException w:name="heading 2" w:uiPriority="13" w:qFormat="1"/>
    <w:lsdException w:name="heading 3" w:uiPriority="13" w:qFormat="1"/>
    <w:lsdException w:name="heading 4" w:uiPriority="13" w:qFormat="1"/>
    <w:lsdException w:name="heading 5" w:uiPriority="13" w:qFormat="1"/>
    <w:lsdException w:name="heading 6" w:uiPriority="13"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33873"/>
    <w:rPr>
      <w:rFonts w:ascii="Arial" w:hAnsi="Arial"/>
      <w:lang w:val="en-AU"/>
    </w:rPr>
  </w:style>
  <w:style w:type="paragraph" w:styleId="Heading1">
    <w:name w:val="heading 1"/>
    <w:aliases w:val="(Alt+1),1,H1,Head,Head1,Heading 1 - Do not use,Heading 1numbered,Heading A,Lev 1,Level 1,Level 1 Head,Numbered,Outline1,PA Chapter,Section,Section Heading,Section Title,h1,h11,h12,h13,h14,h15,h16,h17,heading a,lev1,ni1,nu,numbered indent 1,t1"/>
    <w:basedOn w:val="Normal"/>
    <w:uiPriority w:val="13"/>
    <w:qFormat/>
    <w:rsid w:val="00033873"/>
    <w:pPr>
      <w:numPr>
        <w:numId w:val="8"/>
      </w:numPr>
      <w:spacing w:before="240"/>
      <w:outlineLvl w:val="0"/>
    </w:pPr>
  </w:style>
  <w:style w:type="paragraph" w:styleId="Heading2">
    <w:name w:val="heading 2"/>
    <w:aliases w:val="1.Seite,2,Chapter,H2,Hanging 2 Indent,Heading 2 Hidden,Heading 2 substyle,KJL:1st Level,Lev 2,Level 2 Heading,Major,Numbered indent 2,PA Major Section,Proposal,Reset numbering,Reset numbering1,Sub Heading,exercise,h2,h21,ni2,numbered indent 2"/>
    <w:basedOn w:val="Normal"/>
    <w:link w:val="Heading2Char"/>
    <w:uiPriority w:val="13"/>
    <w:qFormat/>
    <w:rsid w:val="00033873"/>
    <w:pPr>
      <w:numPr>
        <w:ilvl w:val="1"/>
        <w:numId w:val="8"/>
      </w:numPr>
      <w:spacing w:before="240"/>
      <w:outlineLvl w:val="1"/>
    </w:pPr>
  </w:style>
  <w:style w:type="paragraph" w:styleId="Heading3">
    <w:name w:val="heading 3"/>
    <w:aliases w:val="(Alt+3),(a),3,H3,JM,KJL:2nd Level,Lev 3,Level 1 - 1,Level 1 - 11,Minor,Minor1,Org Heading 1,Outline3,PA Minor Section,PARA3,PARA31,Proposa,Sub heading,Sub-sub section Title,h3,h31,h32,heading c,l3,l3.3,ni3,normalindent2,numbered indent 3"/>
    <w:basedOn w:val="Normal"/>
    <w:link w:val="Heading3Char"/>
    <w:uiPriority w:val="13"/>
    <w:qFormat/>
    <w:rsid w:val="00033873"/>
    <w:pPr>
      <w:numPr>
        <w:ilvl w:val="2"/>
        <w:numId w:val="8"/>
      </w:numPr>
      <w:spacing w:before="240"/>
      <w:outlineLvl w:val="2"/>
    </w:pPr>
  </w:style>
  <w:style w:type="paragraph" w:styleId="Heading4">
    <w:name w:val="heading 4"/>
    <w:aliases w:val="(Alt+4),1.1.1.1,4,41,42,43,44,45,Bullet 1,E4,H4,H41,H42,H43,H44,H45,Head4,Lev 4,Level 2 - a,Map Title,PA Micro Section,Paragraph Title,Propos,Sub sub heading,Sub-Minor,Te,a.,a.1,a.2,a.3,a.4,a.5,b1,h4,h41,h42,h43,h44,h45,h:4,list 2,secx n.n.n"/>
    <w:basedOn w:val="Normal"/>
    <w:link w:val="Heading4Char"/>
    <w:uiPriority w:val="13"/>
    <w:qFormat/>
    <w:rsid w:val="00033873"/>
    <w:pPr>
      <w:numPr>
        <w:ilvl w:val="3"/>
        <w:numId w:val="8"/>
      </w:numPr>
      <w:spacing w:before="240"/>
      <w:outlineLvl w:val="3"/>
    </w:pPr>
  </w:style>
  <w:style w:type="paragraph" w:styleId="Heading5">
    <w:name w:val="heading 5"/>
    <w:aliases w:val="Appendix A to X,Blank 1,H5,Heading 5(unused),Lev 5,Level 3 - i,PA Pico Section,Response Type,Response Type1,Response Type2,Response Type3,Response Type4,Response Type5,Response Type6,Response Type7,Subheading,T:,a-head line,h5,l5,secx n.n.n.n"/>
    <w:basedOn w:val="Normal"/>
    <w:uiPriority w:val="13"/>
    <w:qFormat/>
    <w:rsid w:val="00033873"/>
    <w:pPr>
      <w:numPr>
        <w:ilvl w:val="4"/>
        <w:numId w:val="8"/>
      </w:numPr>
      <w:spacing w:before="240"/>
      <w:outlineLvl w:val="4"/>
    </w:pPr>
  </w:style>
  <w:style w:type="paragraph" w:styleId="Heading6">
    <w:name w:val="heading 6"/>
    <w:aliases w:val="6,Contract 5th Level,H6,H61,H610,H611,H612,H613,H614,H615,H616,H617,H618,H619,H62,H621,H63,H631,H64,H641,H65,H651,H66,H661,H67,H671,H68,H681,H69,H691,Heading 6  Appendix Y &amp; Z,Heading 6(unused),ITT t6,L1 PIP,Legal Level 1.,Lev 6,PA Appendix,h6"/>
    <w:basedOn w:val="Normal"/>
    <w:uiPriority w:val="13"/>
    <w:qFormat/>
    <w:rsid w:val="00033873"/>
    <w:pPr>
      <w:numPr>
        <w:ilvl w:val="5"/>
        <w:numId w:val="8"/>
      </w:numPr>
      <w:spacing w:before="240"/>
      <w:outlineLvl w:val="5"/>
    </w:pPr>
  </w:style>
  <w:style w:type="paragraph" w:styleId="Heading7">
    <w:name w:val="heading 7"/>
    <w:basedOn w:val="Normal"/>
    <w:next w:val="Normal"/>
    <w:qFormat/>
    <w:rsid w:val="00033873"/>
    <w:pPr>
      <w:outlineLvl w:val="6"/>
    </w:pPr>
  </w:style>
  <w:style w:type="paragraph" w:styleId="Heading8">
    <w:name w:val="heading 8"/>
    <w:basedOn w:val="Normal"/>
    <w:next w:val="Normal"/>
    <w:qFormat/>
    <w:rsid w:val="00033873"/>
    <w:pPr>
      <w:outlineLvl w:val="7"/>
    </w:pPr>
  </w:style>
  <w:style w:type="paragraph" w:styleId="Heading9">
    <w:name w:val="heading 9"/>
    <w:basedOn w:val="Normal"/>
    <w:next w:val="Normal"/>
    <w:qFormat/>
    <w:rsid w:val="00033873"/>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ure">
    <w:name w:val="Annexure"/>
    <w:basedOn w:val="Normal"/>
    <w:next w:val="BodyText1"/>
    <w:rsid w:val="00033873"/>
    <w:pPr>
      <w:numPr>
        <w:numId w:val="1"/>
      </w:numPr>
      <w:spacing w:before="240"/>
      <w:outlineLvl w:val="0"/>
    </w:pPr>
    <w:rPr>
      <w:b/>
      <w:sz w:val="24"/>
    </w:rPr>
  </w:style>
  <w:style w:type="paragraph" w:customStyle="1" w:styleId="AText">
    <w:name w:val="AText"/>
    <w:basedOn w:val="Normal"/>
    <w:rsid w:val="00033873"/>
    <w:pPr>
      <w:keepLines/>
    </w:pPr>
  </w:style>
  <w:style w:type="paragraph" w:customStyle="1" w:styleId="AuthorPageDate1">
    <w:name w:val="Author  Page #  Date1"/>
    <w:rsid w:val="00033873"/>
    <w:rPr>
      <w:sz w:val="24"/>
      <w:szCs w:val="24"/>
      <w:lang w:val="en-AU"/>
    </w:rPr>
  </w:style>
  <w:style w:type="paragraph" w:styleId="BodyText">
    <w:name w:val="Body Text"/>
    <w:basedOn w:val="Normal"/>
    <w:link w:val="BodyTextChar"/>
    <w:rsid w:val="00033873"/>
    <w:pPr>
      <w:tabs>
        <w:tab w:val="left" w:pos="1701"/>
      </w:tabs>
    </w:pPr>
  </w:style>
  <w:style w:type="paragraph" w:customStyle="1" w:styleId="BodyText1">
    <w:name w:val="Body Text 1"/>
    <w:basedOn w:val="Normal"/>
    <w:rsid w:val="00033873"/>
    <w:pPr>
      <w:spacing w:before="240"/>
    </w:pPr>
  </w:style>
  <w:style w:type="paragraph" w:styleId="BodyText2">
    <w:name w:val="Body Text 2"/>
    <w:basedOn w:val="Normal"/>
    <w:rsid w:val="00033873"/>
    <w:pPr>
      <w:spacing w:before="240"/>
      <w:ind w:left="709"/>
    </w:pPr>
  </w:style>
  <w:style w:type="paragraph" w:styleId="BodyText3">
    <w:name w:val="Body Text 3"/>
    <w:basedOn w:val="Normal"/>
    <w:rsid w:val="00033873"/>
    <w:pPr>
      <w:spacing w:before="240"/>
      <w:ind w:left="1418"/>
    </w:pPr>
  </w:style>
  <w:style w:type="paragraph" w:customStyle="1" w:styleId="BodyText4">
    <w:name w:val="Body Text 4"/>
    <w:basedOn w:val="Normal"/>
    <w:rsid w:val="00033873"/>
    <w:pPr>
      <w:spacing w:before="240"/>
      <w:ind w:left="2126"/>
    </w:pPr>
  </w:style>
  <w:style w:type="paragraph" w:customStyle="1" w:styleId="BodyText5">
    <w:name w:val="Body Text 5"/>
    <w:basedOn w:val="Normal"/>
    <w:rsid w:val="00033873"/>
    <w:pPr>
      <w:spacing w:before="240"/>
      <w:ind w:left="2835"/>
    </w:pPr>
  </w:style>
  <w:style w:type="paragraph" w:customStyle="1" w:styleId="BodyText6">
    <w:name w:val="Body Text 6"/>
    <w:basedOn w:val="Normal"/>
    <w:rsid w:val="00033873"/>
    <w:pPr>
      <w:spacing w:before="240"/>
      <w:ind w:left="3544"/>
    </w:pPr>
  </w:style>
  <w:style w:type="paragraph" w:styleId="Caption">
    <w:name w:val="caption"/>
    <w:basedOn w:val="Normal"/>
    <w:next w:val="Normal"/>
    <w:rsid w:val="00033873"/>
    <w:pPr>
      <w:spacing w:before="120" w:after="120"/>
    </w:pPr>
    <w:rPr>
      <w:b/>
    </w:rPr>
  </w:style>
  <w:style w:type="paragraph" w:customStyle="1" w:styleId="CommentBox">
    <w:name w:val="Comment Box"/>
    <w:basedOn w:val="Normal"/>
    <w:rsid w:val="00033873"/>
    <w:pPr>
      <w:pBdr>
        <w:top w:val="single" w:sz="4" w:space="1" w:color="auto"/>
        <w:left w:val="single" w:sz="4" w:space="4" w:color="auto"/>
        <w:bottom w:val="single" w:sz="4" w:space="1" w:color="auto"/>
        <w:right w:val="single" w:sz="4" w:space="4" w:color="auto"/>
      </w:pBdr>
      <w:shd w:val="pct12" w:color="auto" w:fill="FFFFFF"/>
    </w:pPr>
  </w:style>
  <w:style w:type="paragraph" w:customStyle="1" w:styleId="DefaultParagraphFont1">
    <w:name w:val="Default Paragraph Font1"/>
    <w:basedOn w:val="Normal"/>
    <w:pPr>
      <w:spacing w:before="240"/>
    </w:pPr>
  </w:style>
  <w:style w:type="paragraph" w:styleId="Footer">
    <w:name w:val="footer"/>
    <w:basedOn w:val="Normal"/>
    <w:link w:val="FooterChar"/>
    <w:rsid w:val="00033873"/>
    <w:rPr>
      <w:sz w:val="16"/>
    </w:rPr>
  </w:style>
  <w:style w:type="paragraph" w:customStyle="1" w:styleId="Disclaimer">
    <w:name w:val="Disclaimer"/>
    <w:basedOn w:val="Footer"/>
    <w:rsid w:val="00033873"/>
    <w:pPr>
      <w:jc w:val="center"/>
    </w:pPr>
    <w:rPr>
      <w:rFonts w:ascii="Times New Roman" w:hAnsi="Times New Roman"/>
      <w:b/>
      <w:i/>
      <w:sz w:val="18"/>
    </w:rPr>
  </w:style>
  <w:style w:type="paragraph" w:customStyle="1" w:styleId="Fax">
    <w:name w:val="Fax"/>
    <w:basedOn w:val="Normal"/>
    <w:rsid w:val="00033873"/>
    <w:pPr>
      <w:tabs>
        <w:tab w:val="left" w:pos="2694"/>
      </w:tabs>
      <w:spacing w:line="360" w:lineRule="auto"/>
      <w:ind w:left="2693" w:hanging="2693"/>
    </w:pPr>
    <w:rPr>
      <w:b/>
    </w:rPr>
  </w:style>
  <w:style w:type="paragraph" w:customStyle="1" w:styleId="FaxHeader">
    <w:name w:val="FaxHeader"/>
    <w:basedOn w:val="Normal"/>
    <w:rsid w:val="00033873"/>
    <w:pPr>
      <w:tabs>
        <w:tab w:val="left" w:pos="2693"/>
      </w:tabs>
      <w:ind w:left="2693" w:hanging="2693"/>
    </w:pPr>
  </w:style>
  <w:style w:type="paragraph" w:styleId="Header">
    <w:name w:val="header"/>
    <w:basedOn w:val="Normal"/>
    <w:rsid w:val="00033873"/>
  </w:style>
  <w:style w:type="character" w:styleId="Hyperlink">
    <w:name w:val="Hyperlink"/>
    <w:basedOn w:val="DefaultParagraphFont"/>
    <w:rsid w:val="00033873"/>
    <w:rPr>
      <w:color w:val="0000FF"/>
      <w:u w:val="single"/>
    </w:rPr>
  </w:style>
  <w:style w:type="paragraph" w:customStyle="1" w:styleId="Item">
    <w:name w:val="Item"/>
    <w:next w:val="BodyText3"/>
    <w:rsid w:val="00033873"/>
    <w:pPr>
      <w:keepNext/>
      <w:numPr>
        <w:numId w:val="9"/>
      </w:numPr>
      <w:spacing w:before="240"/>
    </w:pPr>
    <w:rPr>
      <w:rFonts w:ascii="Arial" w:hAnsi="Arial"/>
      <w:b/>
      <w:lang w:val="en-AU"/>
    </w:rPr>
  </w:style>
  <w:style w:type="character" w:styleId="PageNumber">
    <w:name w:val="page number"/>
    <w:basedOn w:val="DefaultParagraphFont"/>
    <w:rsid w:val="00033873"/>
    <w:rPr>
      <w:sz w:val="20"/>
    </w:rPr>
  </w:style>
  <w:style w:type="paragraph" w:customStyle="1" w:styleId="Recital">
    <w:name w:val="Recital"/>
    <w:basedOn w:val="Normal"/>
    <w:rsid w:val="00033873"/>
    <w:pPr>
      <w:numPr>
        <w:numId w:val="11"/>
      </w:numPr>
      <w:spacing w:before="240"/>
    </w:pPr>
  </w:style>
  <w:style w:type="paragraph" w:customStyle="1" w:styleId="Schedule">
    <w:name w:val="Schedule"/>
    <w:basedOn w:val="Normal"/>
    <w:next w:val="BodyText1"/>
    <w:rsid w:val="00033873"/>
    <w:pPr>
      <w:keepNext/>
      <w:numPr>
        <w:numId w:val="12"/>
      </w:numPr>
      <w:spacing w:before="480"/>
      <w:outlineLvl w:val="0"/>
    </w:pPr>
    <w:rPr>
      <w:b/>
      <w:sz w:val="24"/>
    </w:rPr>
  </w:style>
  <w:style w:type="paragraph" w:styleId="Subtitle">
    <w:name w:val="Subtitle"/>
    <w:basedOn w:val="Normal"/>
    <w:next w:val="BodyText1"/>
    <w:qFormat/>
    <w:rsid w:val="00033873"/>
    <w:pPr>
      <w:keepNext/>
      <w:spacing w:before="480"/>
    </w:pPr>
    <w:rPr>
      <w:b/>
      <w:sz w:val="24"/>
    </w:rPr>
  </w:style>
  <w:style w:type="paragraph" w:customStyle="1" w:styleId="TableText">
    <w:name w:val="Table Text"/>
    <w:basedOn w:val="Normal"/>
    <w:rsid w:val="00033873"/>
    <w:pPr>
      <w:spacing w:before="60" w:after="60"/>
    </w:pPr>
  </w:style>
  <w:style w:type="paragraph" w:styleId="Title">
    <w:name w:val="Title"/>
    <w:basedOn w:val="Normal"/>
    <w:next w:val="Normal"/>
    <w:qFormat/>
    <w:rsid w:val="00033873"/>
    <w:pPr>
      <w:spacing w:after="360"/>
    </w:pPr>
    <w:rPr>
      <w:b/>
      <w:sz w:val="40"/>
    </w:rPr>
  </w:style>
  <w:style w:type="paragraph" w:styleId="TOC1">
    <w:name w:val="toc 1"/>
    <w:basedOn w:val="Normal"/>
    <w:next w:val="Normal"/>
    <w:semiHidden/>
    <w:rsid w:val="00033873"/>
    <w:pPr>
      <w:tabs>
        <w:tab w:val="right" w:leader="dot" w:pos="8789"/>
      </w:tabs>
      <w:spacing w:before="60" w:after="60"/>
      <w:ind w:left="709" w:right="425" w:hanging="709"/>
      <w:outlineLvl w:val="0"/>
    </w:pPr>
  </w:style>
  <w:style w:type="paragraph" w:styleId="TOC2">
    <w:name w:val="toc 2"/>
    <w:basedOn w:val="Normal"/>
    <w:next w:val="Normal"/>
    <w:semiHidden/>
    <w:rsid w:val="00033873"/>
    <w:pPr>
      <w:tabs>
        <w:tab w:val="right" w:leader="dot" w:pos="8789"/>
      </w:tabs>
      <w:spacing w:before="60" w:after="60"/>
      <w:ind w:left="1418" w:right="425" w:hanging="709"/>
      <w:outlineLvl w:val="0"/>
    </w:pPr>
  </w:style>
  <w:style w:type="paragraph" w:styleId="TOC3">
    <w:name w:val="toc 3"/>
    <w:basedOn w:val="Normal"/>
    <w:next w:val="Normal"/>
    <w:semiHidden/>
    <w:rsid w:val="00033873"/>
    <w:pPr>
      <w:tabs>
        <w:tab w:val="right" w:pos="7938"/>
      </w:tabs>
      <w:spacing w:before="60" w:after="60"/>
      <w:ind w:left="442"/>
    </w:pPr>
  </w:style>
  <w:style w:type="paragraph" w:styleId="TOC4">
    <w:name w:val="toc 4"/>
    <w:basedOn w:val="Normal"/>
    <w:next w:val="Normal"/>
    <w:semiHidden/>
    <w:rsid w:val="00033873"/>
    <w:pPr>
      <w:tabs>
        <w:tab w:val="right" w:leader="dot" w:pos="8789"/>
      </w:tabs>
      <w:ind w:left="658"/>
    </w:pPr>
  </w:style>
  <w:style w:type="paragraph" w:styleId="TOC5">
    <w:name w:val="toc 5"/>
    <w:basedOn w:val="Normal"/>
    <w:next w:val="Normal"/>
    <w:semiHidden/>
    <w:rsid w:val="00033873"/>
    <w:pPr>
      <w:tabs>
        <w:tab w:val="right" w:leader="dot" w:pos="8789"/>
      </w:tabs>
      <w:ind w:left="879"/>
    </w:pPr>
  </w:style>
  <w:style w:type="paragraph" w:styleId="TOC6">
    <w:name w:val="toc 6"/>
    <w:basedOn w:val="Normal"/>
    <w:next w:val="Normal"/>
    <w:semiHidden/>
    <w:rsid w:val="00033873"/>
    <w:pPr>
      <w:ind w:left="1100"/>
    </w:pPr>
  </w:style>
  <w:style w:type="paragraph" w:styleId="TOC7">
    <w:name w:val="toc 7"/>
    <w:basedOn w:val="Normal"/>
    <w:next w:val="Normal"/>
    <w:semiHidden/>
    <w:rsid w:val="00033873"/>
    <w:pPr>
      <w:ind w:left="1321"/>
    </w:pPr>
  </w:style>
  <w:style w:type="paragraph" w:styleId="TOC8">
    <w:name w:val="toc 8"/>
    <w:basedOn w:val="Normal"/>
    <w:next w:val="Normal"/>
    <w:semiHidden/>
    <w:rsid w:val="00033873"/>
    <w:pPr>
      <w:tabs>
        <w:tab w:val="left" w:leader="dot" w:pos="7938"/>
      </w:tabs>
      <w:spacing w:before="60" w:after="60"/>
      <w:ind w:left="709" w:right="425" w:hanging="709"/>
      <w:outlineLvl w:val="0"/>
    </w:pPr>
  </w:style>
  <w:style w:type="paragraph" w:styleId="TOC9">
    <w:name w:val="toc 9"/>
    <w:basedOn w:val="Normal"/>
    <w:next w:val="Normal"/>
    <w:semiHidden/>
    <w:rsid w:val="00033873"/>
    <w:pPr>
      <w:tabs>
        <w:tab w:val="left" w:leader="dot" w:pos="7938"/>
      </w:tabs>
      <w:spacing w:before="60" w:after="60"/>
      <w:ind w:left="709" w:right="425" w:hanging="709"/>
      <w:outlineLvl w:val="0"/>
    </w:pPr>
  </w:style>
  <w:style w:type="character" w:customStyle="1" w:styleId="BodyTextChar">
    <w:name w:val="Body Text Char"/>
    <w:basedOn w:val="DefaultParagraphFont"/>
    <w:link w:val="BodyText"/>
    <w:rPr>
      <w:rFonts w:ascii="Arial" w:hAnsi="Arial"/>
      <w:lang w:val="en-AU"/>
    </w:rPr>
  </w:style>
  <w:style w:type="paragraph" w:styleId="FootnoteText">
    <w:name w:val="footnote text"/>
    <w:basedOn w:val="Normal"/>
    <w:link w:val="FootnoteTextChar"/>
    <w:rsid w:val="00033873"/>
    <w:rPr>
      <w:sz w:val="18"/>
    </w:rPr>
  </w:style>
  <w:style w:type="character" w:customStyle="1" w:styleId="FootnoteTextChar">
    <w:name w:val="Footnote Text Char"/>
    <w:basedOn w:val="DefaultParagraphFont"/>
    <w:link w:val="FootnoteText"/>
    <w:rsid w:val="00033873"/>
    <w:rPr>
      <w:rFonts w:ascii="Arial" w:hAnsi="Arial"/>
      <w:sz w:val="18"/>
      <w:lang w:val="en-AU"/>
    </w:rPr>
  </w:style>
  <w:style w:type="paragraph" w:customStyle="1" w:styleId="NRFABullet1">
    <w:name w:val="NRFA Bullet 1"/>
    <w:basedOn w:val="BodyText2"/>
    <w:qFormat/>
    <w:rsid w:val="00033873"/>
    <w:pPr>
      <w:numPr>
        <w:numId w:val="10"/>
      </w:numPr>
      <w:tabs>
        <w:tab w:val="left" w:pos="709"/>
      </w:tabs>
      <w:outlineLvl w:val="0"/>
    </w:pPr>
  </w:style>
  <w:style w:type="paragraph" w:customStyle="1" w:styleId="NRFABullet2">
    <w:name w:val="NRFA Bullet 2"/>
    <w:basedOn w:val="NRFABullet1"/>
    <w:qFormat/>
    <w:rsid w:val="00033873"/>
    <w:pPr>
      <w:numPr>
        <w:ilvl w:val="1"/>
      </w:numPr>
      <w:outlineLvl w:val="1"/>
    </w:pPr>
  </w:style>
  <w:style w:type="table" w:customStyle="1" w:styleId="NRFATable">
    <w:name w:val="NRFA Table"/>
    <w:basedOn w:val="TableNormal"/>
    <w:rsid w:val="00033873"/>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pPr>
        <w:jc w:val="center"/>
      </w:pPr>
      <w:rPr>
        <w:b/>
      </w:rPr>
      <w:tblPr/>
      <w:trPr>
        <w:tblHeader/>
      </w:trPr>
      <w:tcPr>
        <w:shd w:val="clear" w:color="auto" w:fill="E6E6E6"/>
      </w:tcPr>
    </w:tblStylePr>
  </w:style>
  <w:style w:type="paragraph" w:customStyle="1" w:styleId="ScheduleNumbering1">
    <w:name w:val="Schedule Numbering 1"/>
    <w:basedOn w:val="Normal"/>
    <w:next w:val="ScheduleNumbering2"/>
    <w:rsid w:val="00033873"/>
    <w:pPr>
      <w:keepNext/>
      <w:widowControl w:val="0"/>
      <w:numPr>
        <w:numId w:val="13"/>
      </w:numPr>
      <w:tabs>
        <w:tab w:val="left" w:pos="709"/>
      </w:tabs>
      <w:spacing w:before="240"/>
      <w:outlineLvl w:val="0"/>
    </w:pPr>
    <w:rPr>
      <w:b/>
      <w:lang w:val="en-US"/>
    </w:rPr>
  </w:style>
  <w:style w:type="paragraph" w:customStyle="1" w:styleId="ScheduleNumbering2">
    <w:name w:val="Schedule Numbering 2"/>
    <w:basedOn w:val="Normal"/>
    <w:rsid w:val="00033873"/>
    <w:pPr>
      <w:numPr>
        <w:ilvl w:val="1"/>
        <w:numId w:val="13"/>
      </w:numPr>
      <w:tabs>
        <w:tab w:val="left" w:pos="709"/>
      </w:tabs>
      <w:spacing w:before="240"/>
      <w:outlineLvl w:val="1"/>
    </w:pPr>
  </w:style>
  <w:style w:type="paragraph" w:customStyle="1" w:styleId="ScheduleNumbering3">
    <w:name w:val="Schedule Numbering 3"/>
    <w:basedOn w:val="Normal"/>
    <w:rsid w:val="00033873"/>
    <w:pPr>
      <w:numPr>
        <w:ilvl w:val="2"/>
        <w:numId w:val="13"/>
      </w:numPr>
      <w:spacing w:before="240"/>
      <w:outlineLvl w:val="2"/>
    </w:pPr>
  </w:style>
  <w:style w:type="paragraph" w:customStyle="1" w:styleId="ScheduleNumbering4">
    <w:name w:val="Schedule Numbering 4"/>
    <w:basedOn w:val="Normal"/>
    <w:rsid w:val="00033873"/>
    <w:pPr>
      <w:numPr>
        <w:ilvl w:val="3"/>
        <w:numId w:val="13"/>
      </w:numPr>
      <w:spacing w:before="240"/>
      <w:outlineLvl w:val="3"/>
    </w:pPr>
  </w:style>
  <w:style w:type="paragraph" w:customStyle="1" w:styleId="ScheduleNumbering5">
    <w:name w:val="Schedule Numbering 5"/>
    <w:basedOn w:val="Normal"/>
    <w:rsid w:val="00033873"/>
    <w:pPr>
      <w:numPr>
        <w:ilvl w:val="4"/>
        <w:numId w:val="13"/>
      </w:numPr>
      <w:spacing w:before="240"/>
      <w:outlineLvl w:val="4"/>
    </w:pPr>
  </w:style>
  <w:style w:type="character" w:customStyle="1" w:styleId="FooterChar">
    <w:name w:val="Footer Char"/>
    <w:link w:val="Footer"/>
    <w:rPr>
      <w:rFonts w:ascii="Arial" w:hAnsi="Arial"/>
      <w:sz w:val="16"/>
      <w:lang w:val="en-AU"/>
    </w:rPr>
  </w:style>
  <w:style w:type="paragraph" w:customStyle="1" w:styleId="BilingualHeading1">
    <w:name w:val="Bilingual Heading 1"/>
    <w:basedOn w:val="Normal"/>
    <w:unhideWhenUsed/>
    <w:rsid w:val="00033873"/>
    <w:pPr>
      <w:numPr>
        <w:numId w:val="3"/>
      </w:numPr>
      <w:spacing w:before="240"/>
    </w:pPr>
  </w:style>
  <w:style w:type="paragraph" w:customStyle="1" w:styleId="BilingualHeading2">
    <w:name w:val="Bilingual Heading 2"/>
    <w:basedOn w:val="Normal"/>
    <w:unhideWhenUsed/>
    <w:rsid w:val="00033873"/>
    <w:pPr>
      <w:numPr>
        <w:ilvl w:val="1"/>
        <w:numId w:val="3"/>
      </w:numPr>
      <w:spacing w:before="240"/>
    </w:pPr>
  </w:style>
  <w:style w:type="paragraph" w:customStyle="1" w:styleId="BilingualHeading3">
    <w:name w:val="Bilingual Heading 3"/>
    <w:basedOn w:val="Normal"/>
    <w:unhideWhenUsed/>
    <w:rsid w:val="00033873"/>
    <w:pPr>
      <w:numPr>
        <w:ilvl w:val="2"/>
        <w:numId w:val="3"/>
      </w:numPr>
      <w:spacing w:before="240"/>
    </w:pPr>
  </w:style>
  <w:style w:type="paragraph" w:customStyle="1" w:styleId="BilingualHeading4">
    <w:name w:val="Bilingual Heading 4"/>
    <w:basedOn w:val="Normal"/>
    <w:unhideWhenUsed/>
    <w:rsid w:val="00033873"/>
    <w:pPr>
      <w:numPr>
        <w:ilvl w:val="3"/>
        <w:numId w:val="3"/>
      </w:numPr>
      <w:spacing w:before="240"/>
    </w:pPr>
  </w:style>
  <w:style w:type="paragraph" w:customStyle="1" w:styleId="BilingualHeading5">
    <w:name w:val="Bilingual Heading 5"/>
    <w:basedOn w:val="Normal"/>
    <w:unhideWhenUsed/>
    <w:rsid w:val="00033873"/>
    <w:pPr>
      <w:numPr>
        <w:ilvl w:val="4"/>
        <w:numId w:val="3"/>
      </w:numPr>
      <w:spacing w:before="240"/>
    </w:pPr>
  </w:style>
  <w:style w:type="paragraph" w:customStyle="1" w:styleId="BilingualHeading6">
    <w:name w:val="Bilingual Heading 6"/>
    <w:basedOn w:val="Normal"/>
    <w:unhideWhenUsed/>
    <w:rsid w:val="00033873"/>
    <w:pPr>
      <w:numPr>
        <w:ilvl w:val="5"/>
        <w:numId w:val="3"/>
      </w:numPr>
      <w:spacing w:before="240"/>
    </w:pPr>
  </w:style>
  <w:style w:type="table" w:customStyle="1" w:styleId="BilingualTable">
    <w:name w:val="Bilingual Table"/>
    <w:basedOn w:val="TableNormal"/>
    <w:uiPriority w:val="99"/>
    <w:rsid w:val="00033873"/>
    <w:rPr>
      <w:rFonts w:ascii="Arial" w:hAnsi="Arial"/>
    </w:rPr>
    <w:tblPr/>
  </w:style>
  <w:style w:type="paragraph" w:customStyle="1" w:styleId="BilingualAnnexure">
    <w:name w:val="Bilingual Annexure"/>
    <w:basedOn w:val="Normal"/>
    <w:next w:val="BodyText1"/>
    <w:rsid w:val="00033873"/>
    <w:pPr>
      <w:numPr>
        <w:numId w:val="2"/>
      </w:numPr>
      <w:spacing w:before="240"/>
    </w:pPr>
    <w:rPr>
      <w:b/>
      <w:sz w:val="24"/>
    </w:rPr>
  </w:style>
  <w:style w:type="table" w:styleId="TableGrid">
    <w:name w:val="Table Grid"/>
    <w:basedOn w:val="TableNormal"/>
    <w:uiPriority w:val="59"/>
    <w:rsid w:val="00033873"/>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ilingualItem">
    <w:name w:val="Bilingual Item"/>
    <w:next w:val="BodyText3"/>
    <w:rsid w:val="00033873"/>
    <w:pPr>
      <w:keepNext/>
      <w:numPr>
        <w:numId w:val="4"/>
      </w:numPr>
      <w:spacing w:before="240"/>
    </w:pPr>
    <w:rPr>
      <w:rFonts w:ascii="Arial" w:hAnsi="Arial"/>
      <w:b/>
      <w:lang w:val="en-AU"/>
    </w:rPr>
  </w:style>
  <w:style w:type="paragraph" w:customStyle="1" w:styleId="BilingualRecital">
    <w:name w:val="Bilingual Recital"/>
    <w:basedOn w:val="Normal"/>
    <w:rsid w:val="00033873"/>
    <w:pPr>
      <w:numPr>
        <w:numId w:val="5"/>
      </w:numPr>
      <w:spacing w:before="240"/>
    </w:pPr>
  </w:style>
  <w:style w:type="paragraph" w:customStyle="1" w:styleId="BilingualSchedule">
    <w:name w:val="Bilingual Schedule"/>
    <w:basedOn w:val="Normal"/>
    <w:next w:val="BodyText1"/>
    <w:rsid w:val="00033873"/>
    <w:pPr>
      <w:keepNext/>
      <w:numPr>
        <w:numId w:val="6"/>
      </w:numPr>
      <w:spacing w:before="480"/>
    </w:pPr>
    <w:rPr>
      <w:b/>
      <w:sz w:val="24"/>
    </w:rPr>
  </w:style>
  <w:style w:type="paragraph" w:customStyle="1" w:styleId="BilingualScheduleNumbering1">
    <w:name w:val="Bilingual Schedule Numbering 1"/>
    <w:basedOn w:val="Normal"/>
    <w:next w:val="BilingualScheduleNumbering2"/>
    <w:rsid w:val="00033873"/>
    <w:pPr>
      <w:keepNext/>
      <w:widowControl w:val="0"/>
      <w:numPr>
        <w:numId w:val="7"/>
      </w:numPr>
      <w:tabs>
        <w:tab w:val="left" w:pos="709"/>
      </w:tabs>
      <w:spacing w:before="240"/>
      <w:outlineLvl w:val="0"/>
    </w:pPr>
    <w:rPr>
      <w:b/>
    </w:rPr>
  </w:style>
  <w:style w:type="paragraph" w:customStyle="1" w:styleId="BilingualScheduleNumbering2">
    <w:name w:val="Bilingual Schedule Numbering 2"/>
    <w:basedOn w:val="Normal"/>
    <w:rsid w:val="00033873"/>
    <w:pPr>
      <w:numPr>
        <w:ilvl w:val="1"/>
        <w:numId w:val="7"/>
      </w:numPr>
      <w:spacing w:before="240"/>
      <w:outlineLvl w:val="1"/>
    </w:pPr>
  </w:style>
  <w:style w:type="paragraph" w:customStyle="1" w:styleId="BilingualScheduleNumbering3">
    <w:name w:val="Bilingual Schedule Numbering 3"/>
    <w:basedOn w:val="Normal"/>
    <w:rsid w:val="00033873"/>
    <w:pPr>
      <w:numPr>
        <w:ilvl w:val="2"/>
        <w:numId w:val="7"/>
      </w:numPr>
      <w:spacing w:before="240"/>
      <w:outlineLvl w:val="2"/>
    </w:pPr>
  </w:style>
  <w:style w:type="paragraph" w:customStyle="1" w:styleId="BilingualScheduleNumbering4">
    <w:name w:val="Bilingual Schedule Numbering 4"/>
    <w:basedOn w:val="Normal"/>
    <w:rsid w:val="00033873"/>
    <w:pPr>
      <w:numPr>
        <w:ilvl w:val="3"/>
        <w:numId w:val="7"/>
      </w:numPr>
      <w:spacing w:before="240"/>
      <w:outlineLvl w:val="3"/>
    </w:pPr>
  </w:style>
  <w:style w:type="paragraph" w:customStyle="1" w:styleId="BilingualScheduleNumbering5">
    <w:name w:val="Bilingual Schedule Numbering 5"/>
    <w:basedOn w:val="Normal"/>
    <w:rsid w:val="00033873"/>
    <w:pPr>
      <w:numPr>
        <w:ilvl w:val="4"/>
        <w:numId w:val="7"/>
      </w:numPr>
      <w:spacing w:before="240"/>
      <w:outlineLvl w:val="4"/>
    </w:p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hAnsi="Arial" w:cs="Arial"/>
      <w:color w:val="000000"/>
      <w:sz w:val="24"/>
      <w:szCs w:val="24"/>
      <w:lang w:val="en-AU"/>
    </w:rPr>
  </w:style>
  <w:style w:type="paragraph" w:styleId="BalloonText">
    <w:name w:val="Balloon Text"/>
    <w:basedOn w:val="Normal"/>
    <w:link w:val="BalloonTextChar"/>
    <w:semiHidden/>
    <w:unhideWhenUsed/>
    <w:rsid w:val="00472840"/>
    <w:rPr>
      <w:rFonts w:ascii="Segoe UI" w:hAnsi="Segoe UI" w:cs="Segoe UI"/>
      <w:sz w:val="18"/>
      <w:szCs w:val="18"/>
    </w:rPr>
  </w:style>
  <w:style w:type="character" w:customStyle="1" w:styleId="BalloonTextChar">
    <w:name w:val="Balloon Text Char"/>
    <w:basedOn w:val="DefaultParagraphFont"/>
    <w:link w:val="BalloonText"/>
    <w:semiHidden/>
    <w:rsid w:val="00472840"/>
    <w:rPr>
      <w:rFonts w:ascii="Segoe UI" w:hAnsi="Segoe UI" w:cs="Segoe UI"/>
      <w:sz w:val="18"/>
      <w:szCs w:val="18"/>
      <w:lang w:val="en-AU"/>
    </w:rPr>
  </w:style>
  <w:style w:type="character" w:styleId="CommentReference">
    <w:name w:val="annotation reference"/>
    <w:basedOn w:val="DefaultParagraphFont"/>
    <w:uiPriority w:val="99"/>
    <w:semiHidden/>
    <w:unhideWhenUsed/>
    <w:rsid w:val="00E17384"/>
    <w:rPr>
      <w:sz w:val="16"/>
      <w:szCs w:val="16"/>
    </w:rPr>
  </w:style>
  <w:style w:type="paragraph" w:styleId="CommentText">
    <w:name w:val="annotation text"/>
    <w:basedOn w:val="Normal"/>
    <w:link w:val="CommentTextChar"/>
    <w:uiPriority w:val="99"/>
    <w:unhideWhenUsed/>
    <w:rsid w:val="00E17384"/>
  </w:style>
  <w:style w:type="character" w:customStyle="1" w:styleId="CommentTextChar">
    <w:name w:val="Comment Text Char"/>
    <w:basedOn w:val="DefaultParagraphFont"/>
    <w:link w:val="CommentText"/>
    <w:uiPriority w:val="99"/>
    <w:rsid w:val="00E17384"/>
    <w:rPr>
      <w:rFonts w:ascii="Arial" w:hAnsi="Arial"/>
      <w:lang w:val="en-AU"/>
    </w:rPr>
  </w:style>
  <w:style w:type="paragraph" w:styleId="CommentSubject">
    <w:name w:val="annotation subject"/>
    <w:basedOn w:val="CommentText"/>
    <w:next w:val="CommentText"/>
    <w:link w:val="CommentSubjectChar"/>
    <w:semiHidden/>
    <w:unhideWhenUsed/>
    <w:rsid w:val="00E17384"/>
    <w:rPr>
      <w:b/>
      <w:bCs/>
    </w:rPr>
  </w:style>
  <w:style w:type="character" w:customStyle="1" w:styleId="CommentSubjectChar">
    <w:name w:val="Comment Subject Char"/>
    <w:basedOn w:val="CommentTextChar"/>
    <w:link w:val="CommentSubject"/>
    <w:semiHidden/>
    <w:rsid w:val="00E17384"/>
    <w:rPr>
      <w:rFonts w:ascii="Arial" w:hAnsi="Arial"/>
      <w:b/>
      <w:bCs/>
      <w:lang w:val="en-AU"/>
    </w:rPr>
  </w:style>
  <w:style w:type="numbering" w:customStyle="1" w:styleId="Style1">
    <w:name w:val="Style1"/>
    <w:uiPriority w:val="99"/>
    <w:rsid w:val="00033873"/>
    <w:pPr>
      <w:numPr>
        <w:numId w:val="14"/>
      </w:numPr>
    </w:pPr>
  </w:style>
  <w:style w:type="numbering" w:customStyle="1" w:styleId="Style2">
    <w:name w:val="Style2"/>
    <w:uiPriority w:val="99"/>
    <w:rsid w:val="00033873"/>
    <w:pPr>
      <w:numPr>
        <w:numId w:val="15"/>
      </w:numPr>
    </w:pPr>
  </w:style>
  <w:style w:type="paragraph" w:customStyle="1" w:styleId="Levelafo">
    <w:name w:val="Level (a)fo"/>
    <w:basedOn w:val="Normal"/>
    <w:uiPriority w:val="6"/>
    <w:rsid w:val="002A1DB0"/>
    <w:pPr>
      <w:tabs>
        <w:tab w:val="left" w:pos="2030"/>
      </w:tabs>
      <w:spacing w:after="220" w:line="264" w:lineRule="auto"/>
      <w:ind w:left="1406"/>
      <w:jc w:val="both"/>
    </w:pPr>
    <w:rPr>
      <w:rFonts w:ascii="Verdana" w:hAnsi="Verdana" w:eastAsiaTheme="minorHAnsi" w:cstheme="minorBidi"/>
      <w:sz w:val="18"/>
      <w:szCs w:val="18"/>
    </w:rPr>
  </w:style>
  <w:style w:type="paragraph" w:customStyle="1" w:styleId="levelafo0">
    <w:name w:val="levelafo"/>
    <w:basedOn w:val="Normal"/>
    <w:rsid w:val="0032543D"/>
    <w:pPr>
      <w:spacing w:after="220" w:line="264" w:lineRule="auto"/>
      <w:ind w:left="1406"/>
      <w:jc w:val="both"/>
    </w:pPr>
    <w:rPr>
      <w:rFonts w:ascii="Verdana" w:hAnsi="Verdana" w:cs="Verdana"/>
      <w:sz w:val="18"/>
      <w:szCs w:val="18"/>
      <w:lang w:eastAsia="en-AU"/>
    </w:rPr>
  </w:style>
  <w:style w:type="paragraph" w:styleId="Revision">
    <w:name w:val="Revision"/>
    <w:hidden/>
    <w:uiPriority w:val="99"/>
    <w:semiHidden/>
    <w:rsid w:val="00400F1B"/>
    <w:rPr>
      <w:rFonts w:ascii="Arial" w:hAnsi="Arial"/>
      <w:lang w:val="en-AU"/>
    </w:rPr>
  </w:style>
  <w:style w:type="character" w:customStyle="1" w:styleId="Heading3Char">
    <w:name w:val="Heading 3 Char"/>
    <w:aliases w:val="(Alt+3) Char,3 Char,H3 Char,KJL:2nd Level Char,Level 1 - 1 Char,Level 1 - 11 Char,Minor Char,Minor1 Char,Org Heading 1 Char,PA Minor Section Char,PARA3 Char,PARA31 Char,Sub-sub section Title Char,h3 Char,ni3 Char,numbered indent 3 Char"/>
    <w:basedOn w:val="DefaultParagraphFont"/>
    <w:link w:val="Heading3"/>
    <w:uiPriority w:val="13"/>
    <w:rsid w:val="00137CE5"/>
    <w:rPr>
      <w:rFonts w:ascii="Arial" w:hAnsi="Arial"/>
      <w:lang w:val="en-AU"/>
    </w:rPr>
  </w:style>
  <w:style w:type="character" w:customStyle="1" w:styleId="Heading2Char">
    <w:name w:val="Heading 2 Char"/>
    <w:aliases w:val="1.Seite Char,2 Char,Chapter Char,H2 Char,Heading 2 Hidden Char,KJL:1st Level Char,Lev 2 Char,Major Char,PA Major Section Char,Reset numbering Char,Reset numbering1 Char,Sub Heading Char,h2 Char,h21 Char,ni2 Char,numbered indent 2 Char"/>
    <w:basedOn w:val="DefaultParagraphFont"/>
    <w:link w:val="Heading2"/>
    <w:uiPriority w:val="13"/>
    <w:rsid w:val="00137CE5"/>
    <w:rPr>
      <w:rFonts w:ascii="Arial" w:hAnsi="Arial"/>
      <w:lang w:val="en-AU"/>
    </w:rPr>
  </w:style>
  <w:style w:type="character" w:customStyle="1" w:styleId="Heading4Char">
    <w:name w:val="Heading 4 Char"/>
    <w:aliases w:val="(Alt+4) Char,4 Char,Bullet 1 Char,E4 Char,H4 Char,Head4 Char,Lev 4 Char,Level 2 - a Char,PA Micro Section Char,Paragraph Title Char,Sub sub heading Char,Sub-Minor Char,Te Char,a. Char,b1 Char,h4 Char,h:4 Char,list 2 Char,secx n.n.n Char"/>
    <w:link w:val="Heading4"/>
    <w:uiPriority w:val="13"/>
    <w:rsid w:val="00137CE5"/>
    <w:rPr>
      <w:rFonts w:ascii="Arial" w:hAnsi="Arial"/>
      <w:lang w:val="en-AU"/>
    </w:rPr>
  </w:style>
  <w:style w:type="character" w:customStyle="1" w:styleId="UnresolvedMention">
    <w:name w:val="Unresolved Mention"/>
    <w:basedOn w:val="DefaultParagraphFont"/>
    <w:uiPriority w:val="99"/>
    <w:semiHidden/>
    <w:unhideWhenUsed/>
    <w:rsid w:val="002B6B8A"/>
    <w:rPr>
      <w:color w:val="605E5C"/>
      <w:shd w:val="clear" w:color="auto" w:fill="E1DFDD"/>
    </w:rPr>
  </w:style>
  <w:style w:type="paragraph" w:customStyle="1" w:styleId="Levela">
    <w:name w:val="Level (a)"/>
    <w:basedOn w:val="Normal"/>
    <w:next w:val="Levelafo"/>
    <w:uiPriority w:val="6"/>
    <w:rsid w:val="008B474A"/>
    <w:pPr>
      <w:numPr>
        <w:ilvl w:val="2"/>
        <w:numId w:val="33"/>
      </w:numPr>
      <w:spacing w:after="220" w:line="264" w:lineRule="auto"/>
      <w:jc w:val="both"/>
      <w:outlineLvl w:val="2"/>
    </w:pPr>
    <w:rPr>
      <w:rFonts w:ascii="Verdana" w:hAnsi="Verdana" w:eastAsia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Program%20Files%20(x86)\Norton%20Rose\NR%20OfficeAddins\Templates\Doc.do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Doc</Template>
  <TotalTime>0</TotalTime>
  <Pages>8</Pages>
  <Words>2926</Words>
  <Characters>14843</Characters>
  <Application>Microsoft Office Word</Application>
  <DocSecurity>0</DocSecurity>
  <Lines>126</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hurstDocRef">
    <vt:lpwstr>AUSTRALIA\RBOX\656394016.12</vt:lpwstr>
  </property>
  <property fmtid="{D5CDD505-2E9C-101B-9397-08002B2CF9AE}" pid="3" name="DMSAuthorID">
    <vt:lpwstr>RBOX</vt:lpwstr>
  </property>
  <property fmtid="{D5CDD505-2E9C-101B-9397-08002B2CF9AE}" pid="4" name="DMSCountry">
    <vt:lpwstr>AUSTRALIA</vt:lpwstr>
  </property>
  <property fmtid="{D5CDD505-2E9C-101B-9397-08002B2CF9AE}" pid="5" name="DocID">
    <vt:lpwstr>656394016.12</vt:lpwstr>
  </property>
</Properties>
</file>